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A29" w14:textId="494A37C2" w:rsidR="00083AEA" w:rsidRPr="00B115F6" w:rsidRDefault="00083AEA" w:rsidP="00083AEA">
      <w:pPr>
        <w:pStyle w:val="Standard"/>
        <w:spacing w:before="144" w:after="144"/>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Przedsięwzięcie Deweloperskie p.n. „</w:t>
      </w:r>
      <w:r w:rsidR="006C72D7">
        <w:rPr>
          <w:rFonts w:ascii="Times New Roman" w:eastAsia="Times New Roman" w:hAnsi="Times New Roman" w:cs="Times New Roman"/>
          <w:b/>
          <w:bCs/>
          <w:sz w:val="20"/>
          <w:szCs w:val="20"/>
        </w:rPr>
        <w:t>Osiedle Magnolia - I</w:t>
      </w:r>
      <w:r w:rsidR="00F05CE7">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w:t>
      </w:r>
    </w:p>
    <w:p w14:paraId="51C938F1"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2F9A4B6C"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Stan na dzień sporządzenia prospektu informacyjnego</w:t>
      </w:r>
    </w:p>
    <w:p w14:paraId="4D4C27DB"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7DA1CA2E"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42D64DCF"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Data</w:t>
      </w:r>
    </w:p>
    <w:p w14:paraId="3273C4DC"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sporządzenia</w:t>
      </w:r>
    </w:p>
    <w:p w14:paraId="1E53EA6A" w14:textId="77777777" w:rsidR="00083AEA" w:rsidRDefault="00083AEA" w:rsidP="00083AEA">
      <w:pPr>
        <w:pStyle w:val="Standard"/>
        <w:widowControl w:val="0"/>
        <w:spacing w:after="0" w:line="360" w:lineRule="auto"/>
        <w:ind w:left="6379"/>
        <w:rPr>
          <w:rFonts w:ascii="Times New Roman" w:eastAsia="Times New Roman" w:hAnsi="Times New Roman" w:cs="Times New Roman"/>
          <w:sz w:val="20"/>
          <w:szCs w:val="20"/>
        </w:rPr>
      </w:pPr>
      <w:r>
        <w:rPr>
          <w:rFonts w:ascii="Times New Roman" w:eastAsia="Times New Roman" w:hAnsi="Times New Roman" w:cs="Times New Roman"/>
          <w:sz w:val="20"/>
          <w:szCs w:val="20"/>
        </w:rPr>
        <w:t>prospektu</w:t>
      </w:r>
    </w:p>
    <w:p w14:paraId="1454AAB8"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0F260FE4" w14:textId="77777777" w:rsidR="00083AEA" w:rsidRDefault="00083AEA" w:rsidP="00083AEA">
      <w:pPr>
        <w:pStyle w:val="Standard"/>
        <w:widowControl w:val="0"/>
        <w:spacing w:after="0" w:line="360" w:lineRule="auto"/>
        <w:rPr>
          <w:rFonts w:ascii="Times New Roman" w:eastAsia="Times New Roman" w:hAnsi="Times New Roman" w:cs="Times New Roman"/>
          <w:sz w:val="20"/>
          <w:szCs w:val="20"/>
          <w:lang w:eastAsia="pl-PL"/>
        </w:rPr>
      </w:pPr>
    </w:p>
    <w:p w14:paraId="423C5666"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Sygnatura prospektu informacyjnego</w:t>
      </w:r>
    </w:p>
    <w:p w14:paraId="1FCB6637"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591D19AE" w14:textId="77777777" w:rsidR="00083AEA" w:rsidRDefault="00083AEA" w:rsidP="00083AEA">
      <w:pPr>
        <w:pStyle w:val="Standard"/>
        <w:widowControl w:val="0"/>
        <w:spacing w:after="0" w:line="360" w:lineRule="auto"/>
      </w:pPr>
    </w:p>
    <w:p w14:paraId="4C6F0FE9"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5BC24678" w14:textId="77777777" w:rsidR="00083AEA" w:rsidRDefault="00083AEA" w:rsidP="00083AEA">
      <w:pPr>
        <w:pStyle w:val="Standard"/>
        <w:spacing w:before="144" w:after="144"/>
        <w:jc w:val="center"/>
        <w:outlineLvl w:val="0"/>
      </w:pPr>
      <w:r>
        <w:rPr>
          <w:rFonts w:ascii="Times New Roman" w:hAnsi="Times New Roman" w:cs="Times New Roman"/>
          <w:b/>
          <w:sz w:val="20"/>
          <w:szCs w:val="20"/>
        </w:rPr>
        <w:t>PROSPEKT INFORMACYJNY</w:t>
      </w:r>
    </w:p>
    <w:p w14:paraId="471647DA"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3CCF635E" w14:textId="77777777" w:rsidR="00083AEA" w:rsidRDefault="00083AEA" w:rsidP="00083AEA">
      <w:pPr>
        <w:pStyle w:val="Standard"/>
        <w:spacing w:before="144" w:after="144"/>
        <w:outlineLvl w:val="0"/>
      </w:pPr>
      <w:r>
        <w:rPr>
          <w:rFonts w:ascii="Times New Roman" w:hAnsi="Times New Roman" w:cs="Times New Roman"/>
          <w:b/>
          <w:sz w:val="20"/>
          <w:szCs w:val="20"/>
        </w:rPr>
        <w:t>CZĘŚĆ OGÓLNA</w:t>
      </w:r>
    </w:p>
    <w:p w14:paraId="7B23D992" w14:textId="77777777" w:rsidR="00083AEA" w:rsidRDefault="00083AEA" w:rsidP="00083AEA">
      <w:pPr>
        <w:pStyle w:val="Standard"/>
        <w:spacing w:after="0"/>
        <w:outlineLvl w:val="0"/>
        <w:rPr>
          <w:rFonts w:ascii="Times New Roman" w:hAnsi="Times New Roman" w:cs="Times New Roman"/>
          <w:b/>
          <w:sz w:val="20"/>
          <w:szCs w:val="20"/>
        </w:rPr>
      </w:pPr>
    </w:p>
    <w:p w14:paraId="295EC0BC" w14:textId="33D50F2A" w:rsidR="00083AEA" w:rsidRDefault="00083AEA" w:rsidP="00083AEA">
      <w:pPr>
        <w:pStyle w:val="Standard"/>
        <w:widowControl w:val="0"/>
        <w:spacing w:after="280"/>
      </w:pPr>
      <w:r>
        <w:rPr>
          <w:rFonts w:ascii="Times New Roman" w:eastAsia="Times New Roman" w:hAnsi="Times New Roman" w:cs="Times New Roman"/>
          <w:b/>
          <w:bCs/>
          <w:sz w:val="20"/>
          <w:szCs w:val="20"/>
        </w:rPr>
        <w:t>I. DANE IDENTYFIKACYJNE I KONTAKTOWE DOTYCZĄCE DEWELOPERA</w:t>
      </w:r>
    </w:p>
    <w:tbl>
      <w:tblPr>
        <w:tblW w:w="9648" w:type="dxa"/>
        <w:tblLayout w:type="fixed"/>
        <w:tblCellMar>
          <w:left w:w="10" w:type="dxa"/>
          <w:right w:w="10" w:type="dxa"/>
        </w:tblCellMar>
        <w:tblLook w:val="04A0" w:firstRow="1" w:lastRow="0" w:firstColumn="1" w:lastColumn="0" w:noHBand="0" w:noVBand="1"/>
      </w:tblPr>
      <w:tblGrid>
        <w:gridCol w:w="2987"/>
        <w:gridCol w:w="3240"/>
        <w:gridCol w:w="3421"/>
      </w:tblGrid>
      <w:tr w:rsidR="00083AEA" w14:paraId="7C838116" w14:textId="77777777" w:rsidTr="00A66780">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314A82A"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DEWELOPERA</w:t>
            </w:r>
          </w:p>
          <w:p w14:paraId="3A84321E"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p>
        </w:tc>
      </w:tr>
      <w:tr w:rsidR="00083AEA" w14:paraId="0D999409" w14:textId="77777777" w:rsidTr="00A66780">
        <w:trPr>
          <w:trHeight w:val="375"/>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BFC212D"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E0F1" w14:textId="77777777" w:rsidR="00B115F6" w:rsidRDefault="00B115F6" w:rsidP="00B115F6">
            <w:pPr>
              <w:pStyle w:val="Standard"/>
              <w:widowControl w:val="0"/>
              <w:spacing w:before="240"/>
              <w:rPr>
                <w:rFonts w:ascii="Times New Roman" w:eastAsia="Times New Roman" w:hAnsi="Times New Roman" w:cs="Times New Roman"/>
                <w:b/>
                <w:bCs/>
                <w:sz w:val="20"/>
                <w:szCs w:val="20"/>
              </w:rPr>
            </w:pPr>
            <w:r w:rsidRPr="00B115F6">
              <w:rPr>
                <w:rFonts w:ascii="Times New Roman" w:eastAsia="Times New Roman" w:hAnsi="Times New Roman" w:cs="Times New Roman"/>
                <w:b/>
                <w:bCs/>
                <w:sz w:val="20"/>
                <w:szCs w:val="20"/>
              </w:rPr>
              <w:t>„MAKBUD” s.c. Spółka Cywilna Ewa Jędrychowicz, Mirosław Klim</w:t>
            </w:r>
            <w:r>
              <w:rPr>
                <w:rFonts w:ascii="Times New Roman" w:eastAsia="Times New Roman" w:hAnsi="Times New Roman" w:cs="Times New Roman"/>
                <w:b/>
                <w:bCs/>
                <w:sz w:val="20"/>
                <w:szCs w:val="20"/>
              </w:rPr>
              <w:t>ek</w:t>
            </w:r>
          </w:p>
          <w:p w14:paraId="460523A0" w14:textId="77777777" w:rsidR="00B115F6" w:rsidRDefault="00B115F6" w:rsidP="00B115F6">
            <w:pPr>
              <w:pStyle w:val="Standard"/>
              <w:widowControl w:val="0"/>
              <w:spacing w:before="240"/>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NIP Spółki 5291725318</w:t>
            </w:r>
          </w:p>
          <w:p w14:paraId="581A8CD4" w14:textId="79156D0A" w:rsidR="00083AEA" w:rsidRPr="00B115F6" w:rsidRDefault="00083AEA" w:rsidP="00B115F6">
            <w:pPr>
              <w:pStyle w:val="Standard"/>
              <w:widowControl w:val="0"/>
              <w:spacing w:before="240"/>
              <w:rPr>
                <w:rFonts w:ascii="Times New Roman" w:eastAsia="Times New Roman" w:hAnsi="Times New Roman" w:cs="Times New Roman"/>
                <w:b/>
                <w:bCs/>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Dane identyfikacyjne (firma, forma prawna, numer Krajowego Rejestru Sądowego lub numer wpisu do Centralnej Ewidencji i Działalności Gospodarczej)</w:t>
            </w:r>
          </w:p>
        </w:tc>
      </w:tr>
      <w:tr w:rsidR="00083AEA" w14:paraId="4CBD5650" w14:textId="77777777" w:rsidTr="00A66780">
        <w:trPr>
          <w:trHeight w:val="1327"/>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7D0C9C7"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CC29" w14:textId="77777777"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ul. Nadarzyńska 77</w:t>
            </w:r>
          </w:p>
          <w:p w14:paraId="27FE9B87" w14:textId="21F9529B"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 xml:space="preserve">05-825 Grodzisk Mazowiecki </w:t>
            </w:r>
          </w:p>
          <w:p w14:paraId="7F0A6478" w14:textId="5DEEAA0D"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Adres miejsca wykonywania działalności gospodarczej, adres siedziby i adres punktów, w których jest przedstawiana oferta lokali mieszkalnych albo domów jednorodzinnych</w:t>
            </w:r>
          </w:p>
        </w:tc>
      </w:tr>
      <w:tr w:rsidR="00083AEA" w14:paraId="64FB666B" w14:textId="77777777" w:rsidTr="00A66780">
        <w:trPr>
          <w:trHeight w:val="18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6A52BA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NIP REGON</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AB2F"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5291725318</w:t>
            </w:r>
          </w:p>
          <w:p w14:paraId="0CD74003" w14:textId="77365D49"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NIP, o ile został nadany</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CB12"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140683269</w:t>
            </w:r>
          </w:p>
          <w:p w14:paraId="1FE31077" w14:textId="6240C84B"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REGON, o ile taki posiada</w:t>
            </w:r>
          </w:p>
        </w:tc>
      </w:tr>
      <w:tr w:rsidR="00083AEA" w14:paraId="211FB43E"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B94F1C3"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85FB" w14:textId="77E0F960"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22 755 77 95</w:t>
            </w:r>
          </w:p>
        </w:tc>
      </w:tr>
      <w:tr w:rsidR="00083AEA" w14:paraId="0E501E31" w14:textId="77777777" w:rsidTr="00A66780">
        <w:trPr>
          <w:trHeight w:val="272"/>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85281FE"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D472" w14:textId="273F1E4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makbud@makbud.pl</w:t>
            </w:r>
          </w:p>
        </w:tc>
      </w:tr>
      <w:tr w:rsidR="00083AEA" w14:paraId="002A480F"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A2EC2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B8B43" w14:textId="1AA4DF3D" w:rsidR="00083AEA" w:rsidRDefault="00B40900" w:rsidP="00A66780">
            <w:pPr>
              <w:pStyle w:val="Standard"/>
              <w:widowControl w:val="0"/>
              <w:tabs>
                <w:tab w:val="left" w:pos="1520"/>
              </w:tabs>
              <w:spacing w:before="144" w:after="144"/>
            </w:pPr>
            <w:r>
              <w:rPr>
                <w:rFonts w:ascii="Times New Roman" w:eastAsia="Times New Roman" w:hAnsi="Times New Roman" w:cs="Times New Roman"/>
                <w:color w:val="000000"/>
                <w:sz w:val="20"/>
                <w:szCs w:val="20"/>
              </w:rPr>
              <w:t>Brak</w:t>
            </w:r>
          </w:p>
        </w:tc>
      </w:tr>
      <w:tr w:rsidR="00083AEA" w14:paraId="317DC08F" w14:textId="77777777" w:rsidTr="00A66780">
        <w:trPr>
          <w:trHeight w:val="21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1B1C3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A593" w14:textId="06D7E35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www.makbud.pl</w:t>
            </w:r>
          </w:p>
        </w:tc>
      </w:tr>
    </w:tbl>
    <w:p w14:paraId="405104B7" w14:textId="7E184EF9" w:rsidR="00083AEA" w:rsidRDefault="00083AEA" w:rsidP="00083AEA">
      <w:pPr>
        <w:pStyle w:val="Standard"/>
        <w:widowControl w:val="0"/>
        <w:spacing w:before="240" w:after="280"/>
      </w:pPr>
      <w:r>
        <w:rPr>
          <w:rFonts w:ascii="Times New Roman" w:eastAsia="Times New Roman" w:hAnsi="Times New Roman" w:cs="Times New Roman"/>
          <w:b/>
          <w:sz w:val="20"/>
          <w:szCs w:val="20"/>
        </w:rPr>
        <w:t>II. DOŚWIADCZENIE DEWELOPERA</w:t>
      </w:r>
    </w:p>
    <w:tbl>
      <w:tblPr>
        <w:tblW w:w="9648" w:type="dxa"/>
        <w:tblLayout w:type="fixed"/>
        <w:tblCellMar>
          <w:left w:w="10" w:type="dxa"/>
          <w:right w:w="10" w:type="dxa"/>
        </w:tblCellMar>
        <w:tblLook w:val="04A0" w:firstRow="1" w:lastRow="0" w:firstColumn="1" w:lastColumn="0" w:noHBand="0" w:noVBand="1"/>
      </w:tblPr>
      <w:tblGrid>
        <w:gridCol w:w="9648"/>
      </w:tblGrid>
      <w:tr w:rsidR="00083AEA" w14:paraId="40A2D6F5" w14:textId="77777777" w:rsidTr="00A66780">
        <w:trPr>
          <w:trHeight w:val="704"/>
        </w:trPr>
        <w:tc>
          <w:tcPr>
            <w:tcW w:w="964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2EC75A"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HISTORIA I UDOKUMENTOWANE DOŚWIADCZENIE DEWELOPERA</w:t>
            </w:r>
          </w:p>
        </w:tc>
      </w:tr>
    </w:tbl>
    <w:p w14:paraId="421D5A3B" w14:textId="77777777" w:rsidR="00083AEA" w:rsidRDefault="00083AEA" w:rsidP="00083AEA">
      <w:pPr>
        <w:rPr>
          <w:vanish/>
        </w:rPr>
      </w:pPr>
    </w:p>
    <w:tbl>
      <w:tblPr>
        <w:tblW w:w="9648" w:type="dxa"/>
        <w:tblInd w:w="5" w:type="dxa"/>
        <w:tblLayout w:type="fixed"/>
        <w:tblCellMar>
          <w:left w:w="10" w:type="dxa"/>
          <w:right w:w="10" w:type="dxa"/>
        </w:tblCellMar>
        <w:tblLook w:val="04A0" w:firstRow="1" w:lastRow="0" w:firstColumn="1" w:lastColumn="0" w:noHBand="0" w:noVBand="1"/>
      </w:tblPr>
      <w:tblGrid>
        <w:gridCol w:w="2813"/>
        <w:gridCol w:w="6835"/>
      </w:tblGrid>
      <w:tr w:rsidR="00083AEA" w14:paraId="6703CBD9"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B1B727B"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083AEA" w14:paraId="7232B6A4"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7B024B8"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D5500" w14:textId="35E7EE36" w:rsidR="00083AEA" w:rsidRDefault="005976D4" w:rsidP="00A66780">
            <w:pPr>
              <w:pStyle w:val="Standard"/>
              <w:widowControl w:val="0"/>
              <w:spacing w:before="144" w:after="144"/>
            </w:pPr>
            <w:r w:rsidRPr="00BC6194">
              <w:rPr>
                <w:rFonts w:ascii="Times New Roman" w:hAnsi="Times New Roman"/>
                <w:sz w:val="20"/>
                <w:szCs w:val="20"/>
              </w:rPr>
              <w:t>Grodzisk Mazowiecki ul. Grodzka 4,6,8</w:t>
            </w:r>
          </w:p>
        </w:tc>
      </w:tr>
      <w:tr w:rsidR="00083AEA" w14:paraId="0DAC0E30"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E95A30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D0F4" w14:textId="295C0081" w:rsidR="00083AEA" w:rsidRDefault="005976D4" w:rsidP="00A66780">
            <w:pPr>
              <w:pStyle w:val="Standard"/>
              <w:widowControl w:val="0"/>
              <w:spacing w:before="144" w:after="144"/>
            </w:pPr>
            <w:r w:rsidRPr="00BC6194">
              <w:rPr>
                <w:rFonts w:ascii="Times New Roman" w:hAnsi="Times New Roman"/>
                <w:sz w:val="20"/>
                <w:szCs w:val="20"/>
              </w:rPr>
              <w:t>30.08.2020 r.</w:t>
            </w:r>
          </w:p>
        </w:tc>
      </w:tr>
      <w:tr w:rsidR="00083AEA" w14:paraId="6D8D711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A9107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A8F70" w14:textId="75B1A872" w:rsidR="00083AEA" w:rsidRDefault="005976D4" w:rsidP="00A66780">
            <w:pPr>
              <w:pStyle w:val="Standard"/>
              <w:widowControl w:val="0"/>
              <w:spacing w:before="144" w:after="144"/>
            </w:pPr>
            <w:r w:rsidRPr="00BC6194">
              <w:rPr>
                <w:rFonts w:ascii="Times New Roman" w:hAnsi="Times New Roman"/>
                <w:sz w:val="20"/>
                <w:szCs w:val="20"/>
              </w:rPr>
              <w:t>09.11.2021 r.</w:t>
            </w:r>
          </w:p>
        </w:tc>
      </w:tr>
      <w:tr w:rsidR="00083AEA" w14:paraId="66275CB1"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392C91"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INNEGO UKOŃCZONEGO PRZEDSIĘWZIĘCIA DEWELOPERSKIEGO</w:t>
            </w:r>
          </w:p>
          <w:p w14:paraId="3A6F9802"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p>
        </w:tc>
      </w:tr>
      <w:tr w:rsidR="00083AEA" w14:paraId="01E2875E"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F1BD59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8275" w14:textId="797C3DF3"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Warszawa ul. Klasyków 14</w:t>
            </w:r>
          </w:p>
        </w:tc>
      </w:tr>
      <w:tr w:rsidR="00083AEA" w14:paraId="4ACF678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A6FD1D9"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7495" w14:textId="6CB257C5" w:rsidR="00083AEA" w:rsidRPr="005976D4" w:rsidRDefault="005976D4" w:rsidP="00A66780">
            <w:pPr>
              <w:pStyle w:val="Standard"/>
              <w:widowControl w:val="0"/>
              <w:spacing w:before="144" w:after="144"/>
              <w:rPr>
                <w:rFonts w:ascii="Times New Roman" w:hAnsi="Times New Roman" w:cs="Times New Roman"/>
                <w:sz w:val="20"/>
                <w:szCs w:val="20"/>
              </w:rPr>
            </w:pPr>
            <w:r w:rsidRPr="005976D4">
              <w:rPr>
                <w:rFonts w:ascii="Times New Roman" w:hAnsi="Times New Roman" w:cs="Times New Roman"/>
                <w:sz w:val="20"/>
                <w:szCs w:val="20"/>
              </w:rPr>
              <w:t>25.09.2020r</w:t>
            </w:r>
          </w:p>
        </w:tc>
      </w:tr>
      <w:tr w:rsidR="00083AEA" w14:paraId="2985CFD8"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1C4438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F211B" w14:textId="5A354D58"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30.06.2022r</w:t>
            </w:r>
          </w:p>
        </w:tc>
      </w:tr>
      <w:tr w:rsidR="00083AEA" w14:paraId="19DBB5F3"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834C71" w14:textId="77777777" w:rsidR="00083AEA" w:rsidRPr="005109F1" w:rsidRDefault="00083AEA" w:rsidP="00A66780">
            <w:pPr>
              <w:pStyle w:val="Standard"/>
              <w:widowControl w:val="0"/>
              <w:spacing w:before="240" w:after="280"/>
              <w:rPr>
                <w:rFonts w:ascii="Times New Roman" w:eastAsia="Times New Roman" w:hAnsi="Times New Roman" w:cs="Times New Roman"/>
                <w:b/>
                <w:sz w:val="20"/>
                <w:szCs w:val="20"/>
              </w:rPr>
            </w:pPr>
            <w:r w:rsidRPr="005109F1">
              <w:rPr>
                <w:rFonts w:ascii="Times New Roman" w:eastAsia="Times New Roman" w:hAnsi="Times New Roman" w:cs="Times New Roman"/>
                <w:b/>
                <w:sz w:val="20"/>
                <w:szCs w:val="20"/>
              </w:rPr>
              <w:t>PRZYKŁAD OSTATNIEGO UKOŃCZONEGO PRZEDSIĘWZIĘCIA DEWELOPERSKIEGO</w:t>
            </w:r>
          </w:p>
          <w:p w14:paraId="01183CA8" w14:textId="77777777" w:rsidR="00083AEA" w:rsidRPr="005109F1" w:rsidRDefault="00083AEA" w:rsidP="00A66780">
            <w:pPr>
              <w:pStyle w:val="Standard"/>
              <w:widowControl w:val="0"/>
              <w:spacing w:before="280" w:after="0"/>
              <w:rPr>
                <w:rFonts w:ascii="Times New Roman" w:eastAsia="Times New Roman" w:hAnsi="Times New Roman" w:cs="Times New Roman"/>
                <w:b/>
                <w:sz w:val="20"/>
                <w:szCs w:val="20"/>
              </w:rPr>
            </w:pPr>
          </w:p>
        </w:tc>
      </w:tr>
      <w:tr w:rsidR="00083AEA" w14:paraId="5EABDFD6"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DFF89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CA75" w14:textId="0333598E" w:rsidR="005F1768" w:rsidRPr="005109F1" w:rsidRDefault="005F1768" w:rsidP="005F1768">
            <w:pPr>
              <w:pStyle w:val="Standard"/>
              <w:widowControl w:val="0"/>
              <w:spacing w:before="144" w:after="144"/>
              <w:rPr>
                <w:rFonts w:ascii="Times New Roman" w:eastAsia="Times New Roman" w:hAnsi="Times New Roman" w:cs="Times New Roman"/>
                <w:sz w:val="20"/>
                <w:szCs w:val="20"/>
              </w:rPr>
            </w:pPr>
            <w:r w:rsidRPr="005109F1">
              <w:rPr>
                <w:rFonts w:ascii="Times New Roman" w:eastAsia="Times New Roman" w:hAnsi="Times New Roman" w:cs="Times New Roman"/>
                <w:sz w:val="20"/>
                <w:szCs w:val="20"/>
              </w:rPr>
              <w:t>Grodzisk Mazowiecki ul. Okrężna 11A, 11B, 11C.</w:t>
            </w:r>
          </w:p>
          <w:p w14:paraId="4DECE5E9" w14:textId="56A0911D" w:rsidR="005F1768" w:rsidRPr="005109F1" w:rsidRDefault="005F1768" w:rsidP="005F1768">
            <w:pPr>
              <w:pStyle w:val="Standard"/>
              <w:widowControl w:val="0"/>
              <w:spacing w:before="144" w:after="144"/>
              <w:rPr>
                <w:rFonts w:ascii="Times New Roman" w:eastAsia="Times New Roman" w:hAnsi="Times New Roman" w:cs="Times New Roman"/>
                <w:sz w:val="20"/>
                <w:szCs w:val="20"/>
              </w:rPr>
            </w:pPr>
            <w:r w:rsidRPr="005109F1">
              <w:rPr>
                <w:rFonts w:ascii="Times New Roman" w:eastAsia="Times New Roman" w:hAnsi="Times New Roman" w:cs="Times New Roman"/>
                <w:sz w:val="20"/>
                <w:szCs w:val="20"/>
              </w:rPr>
              <w:t>Grodzisk Mazowiecki ul. Okrężna 11D, 11E, 11F, 11G.</w:t>
            </w:r>
          </w:p>
          <w:p w14:paraId="575122AB" w14:textId="3BEAF74A" w:rsidR="00083AEA" w:rsidRPr="005109F1" w:rsidRDefault="005F1768" w:rsidP="005F1768">
            <w:pPr>
              <w:pStyle w:val="Standard"/>
              <w:widowControl w:val="0"/>
              <w:spacing w:before="144" w:after="144"/>
            </w:pPr>
            <w:r w:rsidRPr="005109F1">
              <w:rPr>
                <w:rFonts w:ascii="Times New Roman" w:eastAsia="Times New Roman" w:hAnsi="Times New Roman" w:cs="Times New Roman"/>
                <w:sz w:val="20"/>
                <w:szCs w:val="20"/>
              </w:rPr>
              <w:t>Grodzisk Mazowiecki ul.  Okrężna 11H, 11J, 11K.</w:t>
            </w:r>
          </w:p>
        </w:tc>
      </w:tr>
      <w:tr w:rsidR="00083AEA" w14:paraId="3C7F029A"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2B6F18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B6C2" w14:textId="27E37B03" w:rsidR="00083AEA" w:rsidRPr="005109F1" w:rsidRDefault="005F1768" w:rsidP="00A66780">
            <w:pPr>
              <w:pStyle w:val="Standard"/>
              <w:widowControl w:val="0"/>
              <w:spacing w:before="144" w:after="144"/>
            </w:pPr>
            <w:r w:rsidRPr="005109F1">
              <w:rPr>
                <w:rFonts w:ascii="Times New Roman" w:hAnsi="Times New Roman"/>
                <w:sz w:val="20"/>
                <w:szCs w:val="20"/>
              </w:rPr>
              <w:t>17 marca 2022 r.</w:t>
            </w:r>
          </w:p>
        </w:tc>
      </w:tr>
      <w:tr w:rsidR="00083AEA" w14:paraId="7C376ECD"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F939B6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55684" w14:textId="77777777" w:rsidR="005F1768" w:rsidRPr="005109F1" w:rsidRDefault="005F1768" w:rsidP="005F1768">
            <w:pPr>
              <w:pStyle w:val="Standard"/>
              <w:widowControl w:val="0"/>
              <w:spacing w:before="144" w:after="144"/>
              <w:rPr>
                <w:rFonts w:ascii="Times New Roman" w:eastAsia="Times New Roman" w:hAnsi="Times New Roman" w:cs="Times New Roman"/>
                <w:sz w:val="20"/>
                <w:szCs w:val="20"/>
              </w:rPr>
            </w:pPr>
            <w:r w:rsidRPr="005109F1">
              <w:rPr>
                <w:rFonts w:ascii="Times New Roman" w:eastAsia="Times New Roman" w:hAnsi="Times New Roman" w:cs="Times New Roman"/>
                <w:sz w:val="20"/>
                <w:szCs w:val="20"/>
              </w:rPr>
              <w:t xml:space="preserve">Grodzisk Mazowiecki ul. Okrężna 11A, 11B, 11C- zakończenie budowy 10 października 2023 r. </w:t>
            </w:r>
          </w:p>
          <w:p w14:paraId="0E04F3F4" w14:textId="77777777" w:rsidR="005F1768" w:rsidRPr="005109F1" w:rsidRDefault="005F1768" w:rsidP="005F1768">
            <w:pPr>
              <w:pStyle w:val="Standard"/>
              <w:widowControl w:val="0"/>
              <w:spacing w:before="144" w:after="144"/>
              <w:rPr>
                <w:rFonts w:ascii="Times New Roman" w:eastAsia="Times New Roman" w:hAnsi="Times New Roman" w:cs="Times New Roman"/>
                <w:sz w:val="20"/>
                <w:szCs w:val="20"/>
              </w:rPr>
            </w:pPr>
            <w:r w:rsidRPr="005109F1">
              <w:rPr>
                <w:rFonts w:ascii="Times New Roman" w:eastAsia="Times New Roman" w:hAnsi="Times New Roman" w:cs="Times New Roman"/>
                <w:sz w:val="20"/>
                <w:szCs w:val="20"/>
              </w:rPr>
              <w:t>Grodzisk Mazowiecki ul. Okrężna 11D, 11E, 11F, 11G, - zakończenie budowy 17 października 2023 r.</w:t>
            </w:r>
          </w:p>
          <w:p w14:paraId="0CBE5109" w14:textId="6F0F7DA0" w:rsidR="00083AEA" w:rsidRPr="005109F1" w:rsidRDefault="005F1768" w:rsidP="005F1768">
            <w:pPr>
              <w:pStyle w:val="Standard"/>
              <w:widowControl w:val="0"/>
              <w:spacing w:before="144" w:after="144"/>
            </w:pPr>
            <w:r w:rsidRPr="005109F1">
              <w:rPr>
                <w:rFonts w:ascii="Times New Roman" w:eastAsia="Times New Roman" w:hAnsi="Times New Roman" w:cs="Times New Roman"/>
                <w:sz w:val="20"/>
                <w:szCs w:val="20"/>
              </w:rPr>
              <w:t>Grodzisk Mazowiecki ul.  Okrężna 11H, 11J, 11K- zakończenie budowy 19 października 2023 r.</w:t>
            </w:r>
          </w:p>
        </w:tc>
      </w:tr>
    </w:tbl>
    <w:p w14:paraId="75A2B8F0" w14:textId="77777777" w:rsidR="00083AEA" w:rsidRDefault="00083AEA" w:rsidP="00083AEA">
      <w:pPr>
        <w:pStyle w:val="Standard"/>
        <w:spacing w:before="144" w:after="144"/>
        <w:rPr>
          <w:rFonts w:ascii="Times New Roman" w:eastAsia="Times New Roman" w:hAnsi="Times New Roman" w:cs="Times New Roman"/>
          <w:b/>
          <w:bCs/>
          <w:sz w:val="16"/>
          <w:szCs w:val="20"/>
        </w:rPr>
      </w:pPr>
    </w:p>
    <w:tbl>
      <w:tblPr>
        <w:tblW w:w="9648" w:type="dxa"/>
        <w:tblInd w:w="5" w:type="dxa"/>
        <w:tblLayout w:type="fixed"/>
        <w:tblCellMar>
          <w:left w:w="10" w:type="dxa"/>
          <w:right w:w="10" w:type="dxa"/>
        </w:tblCellMar>
        <w:tblLook w:val="04A0" w:firstRow="1" w:lastRow="0" w:firstColumn="1" w:lastColumn="0" w:noHBand="0" w:noVBand="1"/>
      </w:tblPr>
      <w:tblGrid>
        <w:gridCol w:w="2807"/>
        <w:gridCol w:w="6841"/>
      </w:tblGrid>
      <w:tr w:rsidR="00083AEA" w14:paraId="134298B5" w14:textId="77777777" w:rsidTr="00A66780">
        <w:tc>
          <w:tcPr>
            <w:tcW w:w="280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E9DC2CC"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Czy przeciwko deweloperowi prowadzono lub prowadzi się postępowania egzekucyjne na kwotę powyżej 100 000 zł</w:t>
            </w:r>
          </w:p>
        </w:tc>
        <w:tc>
          <w:tcPr>
            <w:tcW w:w="6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16CE" w14:textId="77777777" w:rsidR="00083AEA" w:rsidRDefault="00083AEA" w:rsidP="00A66780">
            <w:pPr>
              <w:pStyle w:val="Standard"/>
              <w:widowControl w:val="0"/>
              <w:spacing w:before="144" w:after="144"/>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Nie</w:t>
            </w:r>
          </w:p>
        </w:tc>
      </w:tr>
    </w:tbl>
    <w:p w14:paraId="4E58B36B" w14:textId="6865E417" w:rsidR="009B5491" w:rsidRPr="00DD7B98" w:rsidRDefault="009B5491" w:rsidP="00120C46">
      <w:pPr>
        <w:widowControl w:val="0"/>
        <w:autoSpaceDE w:val="0"/>
        <w:autoSpaceDN w:val="0"/>
        <w:adjustRightInd w:val="0"/>
        <w:spacing w:before="100" w:beforeAutospacing="1" w:after="600" w:line="240" w:lineRule="auto"/>
        <w:jc w:val="both"/>
        <w:rPr>
          <w:rFonts w:ascii="Times New Roman" w:eastAsia="Times New Roman" w:hAnsi="Times New Roman" w:cs="Times New Roman"/>
          <w:b/>
          <w:bCs/>
          <w:sz w:val="20"/>
          <w:szCs w:val="20"/>
        </w:rPr>
      </w:pPr>
      <w:r w:rsidRPr="00DD7B98">
        <w:rPr>
          <w:rFonts w:ascii="Times New Roman" w:eastAsia="Times New Roman" w:hAnsi="Times New Roman" w:cs="Times New Roman"/>
          <w:b/>
          <w:bCs/>
          <w:sz w:val="20"/>
          <w:szCs w:val="20"/>
        </w:rPr>
        <w:t>III. 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DF3A2D" w:rsidRPr="00DD7B98" w14:paraId="1229C02D" w14:textId="77777777" w:rsidTr="002568E5">
        <w:tc>
          <w:tcPr>
            <w:tcW w:w="9648" w:type="dxa"/>
            <w:gridSpan w:val="3"/>
            <w:tcBorders>
              <w:bottom w:val="single" w:sz="4" w:space="0" w:color="auto"/>
            </w:tcBorders>
            <w:shd w:val="clear" w:color="auto" w:fill="E0E0E0"/>
          </w:tcPr>
          <w:p w14:paraId="114B55DD" w14:textId="1207B911" w:rsidR="00EA1C22" w:rsidRPr="00DD7B98" w:rsidRDefault="00EA1C22" w:rsidP="00120C46">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INFORMACJE DOTYCZĄCE GRUNTU I ZAGOSPODAROWANIA PRZESTRZENNEGO TERENU</w:t>
            </w:r>
          </w:p>
        </w:tc>
      </w:tr>
      <w:tr w:rsidR="00DF3A2D" w:rsidRPr="00DD7B98" w14:paraId="0DBB25B5" w14:textId="77777777" w:rsidTr="002568E5">
        <w:trPr>
          <w:trHeight w:val="135"/>
        </w:trPr>
        <w:tc>
          <w:tcPr>
            <w:tcW w:w="2810" w:type="dxa"/>
            <w:shd w:val="clear" w:color="auto" w:fill="F3F3F3"/>
          </w:tcPr>
          <w:p w14:paraId="66BE3D5C" w14:textId="3EC7CBC0"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Adres, numer działki ewidencyjnej i numer obrębu ewidencyjnego</w:t>
            </w:r>
            <w:r w:rsidR="00EA1C22" w:rsidRPr="00DD7B98">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2B44E969" w14:textId="74BE7CF5" w:rsidR="00EA1C22" w:rsidRPr="00C92BAF" w:rsidRDefault="005109F1" w:rsidP="00910BA5">
            <w:pPr>
              <w:pStyle w:val="Standard"/>
              <w:widowControl w:val="0"/>
              <w:spacing w:before="144" w:after="144"/>
              <w:rPr>
                <w:rFonts w:ascii="Times New Roman" w:eastAsia="Times New Roman" w:hAnsi="Times New Roman" w:cs="Times New Roman"/>
                <w:sz w:val="20"/>
                <w:szCs w:val="20"/>
              </w:rPr>
            </w:pPr>
            <w:r w:rsidRPr="00575EF3">
              <w:rPr>
                <w:rFonts w:ascii="Times New Roman" w:eastAsia="Times New Roman" w:hAnsi="Times New Roman" w:cs="Times New Roman"/>
                <w:sz w:val="20"/>
                <w:szCs w:val="20"/>
              </w:rPr>
              <w:t xml:space="preserve">dz. nr ewid. </w:t>
            </w:r>
            <w:r w:rsidRPr="00575EF3">
              <w:rPr>
                <w:rFonts w:ascii="Times New Roman" w:eastAsia="Times New Roman" w:hAnsi="Times New Roman" w:cs="Times New Roman"/>
                <w:b/>
                <w:bCs/>
                <w:sz w:val="20"/>
                <w:szCs w:val="20"/>
              </w:rPr>
              <w:t>3/2, 3/4,</w:t>
            </w:r>
            <w:r>
              <w:rPr>
                <w:rFonts w:ascii="Times New Roman" w:eastAsia="Times New Roman" w:hAnsi="Times New Roman" w:cs="Times New Roman"/>
                <w:b/>
                <w:bCs/>
                <w:sz w:val="20"/>
                <w:szCs w:val="20"/>
              </w:rPr>
              <w:t xml:space="preserve"> </w:t>
            </w:r>
            <w:r w:rsidR="00400A7E" w:rsidRPr="000537A3">
              <w:rPr>
                <w:rFonts w:ascii="Times New Roman" w:eastAsia="Times New Roman" w:hAnsi="Times New Roman" w:cs="Times New Roman"/>
                <w:b/>
                <w:bCs/>
                <w:color w:val="7030A0"/>
                <w:sz w:val="20"/>
                <w:szCs w:val="20"/>
              </w:rPr>
              <w:t xml:space="preserve">3/12, </w:t>
            </w:r>
            <w:r w:rsidRPr="007F7944">
              <w:rPr>
                <w:rFonts w:ascii="Times New Roman" w:eastAsia="Times New Roman" w:hAnsi="Times New Roman" w:cs="Times New Roman"/>
                <w:b/>
                <w:bCs/>
                <w:color w:val="EE0000"/>
                <w:sz w:val="20"/>
                <w:szCs w:val="20"/>
              </w:rPr>
              <w:t>3/13</w:t>
            </w:r>
            <w:r w:rsidRPr="00575EF3">
              <w:rPr>
                <w:rFonts w:ascii="Times New Roman" w:eastAsia="Times New Roman" w:hAnsi="Times New Roman" w:cs="Times New Roman"/>
                <w:b/>
                <w:bCs/>
                <w:sz w:val="20"/>
                <w:szCs w:val="20"/>
              </w:rPr>
              <w:t>, 3/8, 3/9, 3/10, 3/11, 4</w:t>
            </w:r>
            <w:r w:rsidRPr="00575EF3">
              <w:rPr>
                <w:rFonts w:ascii="Times New Roman" w:eastAsia="Times New Roman" w:hAnsi="Times New Roman" w:cs="Times New Roman"/>
                <w:sz w:val="20"/>
                <w:szCs w:val="20"/>
              </w:rPr>
              <w:t xml:space="preserve"> obr. 0072 Grodzisk Mazowiecki  („</w:t>
            </w:r>
            <w:r w:rsidRPr="00575EF3">
              <w:rPr>
                <w:rFonts w:ascii="Times New Roman" w:eastAsia="Times New Roman" w:hAnsi="Times New Roman" w:cs="Times New Roman"/>
                <w:b/>
                <w:bCs/>
                <w:sz w:val="20"/>
                <w:szCs w:val="20"/>
              </w:rPr>
              <w:t>Nieruchomość</w:t>
            </w:r>
            <w:r w:rsidRPr="00575EF3">
              <w:rPr>
                <w:rFonts w:ascii="Times New Roman" w:eastAsia="Times New Roman" w:hAnsi="Times New Roman" w:cs="Times New Roman"/>
                <w:sz w:val="20"/>
                <w:szCs w:val="20"/>
              </w:rPr>
              <w:t>”)</w:t>
            </w:r>
          </w:p>
        </w:tc>
      </w:tr>
      <w:tr w:rsidR="00DF3A2D" w:rsidRPr="00DD7B98" w14:paraId="25F548F0" w14:textId="77777777" w:rsidTr="002568E5">
        <w:trPr>
          <w:trHeight w:val="98"/>
        </w:trPr>
        <w:tc>
          <w:tcPr>
            <w:tcW w:w="2810" w:type="dxa"/>
            <w:shd w:val="clear" w:color="auto" w:fill="F3F3F3"/>
          </w:tcPr>
          <w:p w14:paraId="5FA24BF2"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 xml:space="preserve">Numer księgi wieczystej </w:t>
            </w:r>
          </w:p>
        </w:tc>
        <w:tc>
          <w:tcPr>
            <w:tcW w:w="6838" w:type="dxa"/>
            <w:gridSpan w:val="2"/>
          </w:tcPr>
          <w:p w14:paraId="70486FC8" w14:textId="21C24E11" w:rsidR="00EA1C22" w:rsidRPr="00C92BAF" w:rsidRDefault="00C92BAF" w:rsidP="00083AEA">
            <w:pPr>
              <w:spacing w:beforeLines="60" w:before="144" w:afterLines="60" w:after="144" w:line="240" w:lineRule="auto"/>
              <w:rPr>
                <w:rFonts w:ascii="Times New Roman" w:eastAsia="Times New Roman" w:hAnsi="Times New Roman" w:cs="Times New Roman"/>
                <w:b/>
                <w:bCs/>
                <w:sz w:val="20"/>
                <w:szCs w:val="20"/>
              </w:rPr>
            </w:pPr>
            <w:r w:rsidRPr="00C92BAF">
              <w:rPr>
                <w:rFonts w:ascii="Times New Roman" w:eastAsia="Times New Roman" w:hAnsi="Times New Roman" w:cs="Times New Roman"/>
                <w:b/>
                <w:bCs/>
                <w:sz w:val="20"/>
                <w:szCs w:val="20"/>
              </w:rPr>
              <w:t>WA1G/000</w:t>
            </w:r>
            <w:r w:rsidR="006C72D7">
              <w:rPr>
                <w:rFonts w:ascii="Times New Roman" w:eastAsia="Times New Roman" w:hAnsi="Times New Roman" w:cs="Times New Roman"/>
                <w:b/>
                <w:bCs/>
                <w:sz w:val="20"/>
                <w:szCs w:val="20"/>
              </w:rPr>
              <w:t>55963</w:t>
            </w:r>
            <w:r w:rsidRPr="00C92BAF">
              <w:rPr>
                <w:rFonts w:ascii="Times New Roman" w:eastAsia="Times New Roman" w:hAnsi="Times New Roman" w:cs="Times New Roman"/>
                <w:b/>
                <w:bCs/>
                <w:sz w:val="20"/>
                <w:szCs w:val="20"/>
              </w:rPr>
              <w:t>/</w:t>
            </w:r>
            <w:r w:rsidR="006C72D7">
              <w:rPr>
                <w:rFonts w:ascii="Times New Roman" w:eastAsia="Times New Roman" w:hAnsi="Times New Roman" w:cs="Times New Roman"/>
                <w:b/>
                <w:bCs/>
                <w:sz w:val="20"/>
                <w:szCs w:val="20"/>
              </w:rPr>
              <w:t>6</w:t>
            </w:r>
          </w:p>
        </w:tc>
      </w:tr>
      <w:tr w:rsidR="00DF3A2D" w:rsidRPr="00DD7B98" w14:paraId="0CEF5EFE" w14:textId="77777777" w:rsidTr="002568E5">
        <w:trPr>
          <w:trHeight w:val="98"/>
        </w:trPr>
        <w:tc>
          <w:tcPr>
            <w:tcW w:w="2810" w:type="dxa"/>
            <w:shd w:val="clear" w:color="auto" w:fill="F3F3F3"/>
          </w:tcPr>
          <w:p w14:paraId="4DFBEDA3"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54D866DF" w14:textId="59AC4FB3" w:rsidR="00EA1C22" w:rsidRPr="00DD7B98" w:rsidRDefault="0015416D"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w:t>
            </w:r>
          </w:p>
        </w:tc>
      </w:tr>
      <w:tr w:rsidR="00DF3A2D" w:rsidRPr="00DD7B98" w14:paraId="278CEAB5" w14:textId="77777777" w:rsidTr="002568E5">
        <w:trPr>
          <w:trHeight w:val="97"/>
        </w:trPr>
        <w:tc>
          <w:tcPr>
            <w:tcW w:w="2810" w:type="dxa"/>
            <w:shd w:val="clear" w:color="auto" w:fill="F3F3F3"/>
          </w:tcPr>
          <w:p w14:paraId="561BF1EA"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przypadku braku księgi wieczystej informacja o powierzchni działki i stanie prawnym nieruchomości</w:t>
            </w:r>
            <w:r w:rsidRPr="00DD7B98">
              <w:rPr>
                <w:rFonts w:ascii="Times New Roman" w:eastAsia="Times New Roman" w:hAnsi="Times New Roman" w:cs="Times New Roman"/>
                <w:sz w:val="20"/>
                <w:szCs w:val="20"/>
                <w:vertAlign w:val="superscript"/>
              </w:rPr>
              <w:footnoteReference w:customMarkFollows="1" w:id="2"/>
              <w:t>2)</w:t>
            </w:r>
            <w:r w:rsidRPr="00DD7B98">
              <w:rPr>
                <w:rFonts w:ascii="Times New Roman" w:eastAsia="Times New Roman" w:hAnsi="Times New Roman" w:cs="Times New Roman"/>
                <w:sz w:val="20"/>
                <w:szCs w:val="20"/>
              </w:rPr>
              <w:t xml:space="preserve"> </w:t>
            </w:r>
          </w:p>
        </w:tc>
        <w:tc>
          <w:tcPr>
            <w:tcW w:w="6838" w:type="dxa"/>
            <w:gridSpan w:val="2"/>
          </w:tcPr>
          <w:p w14:paraId="091C8E54" w14:textId="3DB05845" w:rsidR="00EA1C22" w:rsidRPr="00DD7B98" w:rsidRDefault="00D01969"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DF3A2D" w:rsidRPr="00DD7B98" w14:paraId="1D093AC7" w14:textId="77777777" w:rsidTr="002568E5">
        <w:trPr>
          <w:trHeight w:val="97"/>
        </w:trPr>
        <w:tc>
          <w:tcPr>
            <w:tcW w:w="2810" w:type="dxa"/>
            <w:shd w:val="clear" w:color="auto" w:fill="F3F3F3"/>
          </w:tcPr>
          <w:p w14:paraId="12A617AC" w14:textId="50E67BC0"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Informacje dotyczące obiektów istniejących położonych w sąsiedztwie inwestycji i wpływających na warunki życia</w:t>
            </w:r>
            <w:r w:rsidRPr="00DD7B98">
              <w:rPr>
                <w:rFonts w:ascii="Times New Roman" w:eastAsia="Times New Roman" w:hAnsi="Times New Roman" w:cs="Times New Roman"/>
                <w:sz w:val="20"/>
                <w:szCs w:val="20"/>
                <w:vertAlign w:val="superscript"/>
              </w:rPr>
              <w:footnoteReference w:customMarkFollows="1" w:id="3"/>
              <w:t>3)</w:t>
            </w:r>
          </w:p>
        </w:tc>
        <w:tc>
          <w:tcPr>
            <w:tcW w:w="6838" w:type="dxa"/>
            <w:gridSpan w:val="2"/>
          </w:tcPr>
          <w:p w14:paraId="1B0EACD5" w14:textId="70FF2162"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Uwarunkowania lokalizacji inwestycji wynikające z istniejącego stanu użytkowania terenów sąsiednich (np. z funkcji terenu, stref ochronnych, uciążliwości)</w:t>
            </w:r>
          </w:p>
        </w:tc>
      </w:tr>
      <w:tr w:rsidR="00DF3A2D" w:rsidRPr="00DD7B98" w14:paraId="4487FBE5" w14:textId="77777777" w:rsidTr="002568E5">
        <w:trPr>
          <w:trHeight w:val="320"/>
        </w:trPr>
        <w:tc>
          <w:tcPr>
            <w:tcW w:w="2810" w:type="dxa"/>
            <w:vMerge w:val="restart"/>
            <w:shd w:val="clear" w:color="auto" w:fill="F3F3F3"/>
          </w:tcPr>
          <w:p w14:paraId="2C5F873F" w14:textId="23DBFBE8"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Akty planowania przestrzennego i inne akty prawne na terenie objętym przedsięwzięciem deweloperskim lub zadaniem inwestycyjnym</w:t>
            </w:r>
          </w:p>
        </w:tc>
        <w:tc>
          <w:tcPr>
            <w:tcW w:w="3419" w:type="dxa"/>
          </w:tcPr>
          <w:p w14:paraId="65C51AD2" w14:textId="63C60F91" w:rsidR="00D01969" w:rsidRPr="00D01969" w:rsidRDefault="00D01969" w:rsidP="00D01969">
            <w:pPr>
              <w:pStyle w:val="Standard"/>
              <w:widowControl w:val="0"/>
              <w:spacing w:before="144" w:after="144"/>
            </w:pPr>
            <w:r>
              <w:rPr>
                <w:rFonts w:ascii="Times New Roman" w:eastAsia="Times New Roman" w:hAnsi="Times New Roman" w:cs="Times New Roman"/>
                <w:sz w:val="20"/>
                <w:szCs w:val="20"/>
                <w:lang w:eastAsia="pl-PL"/>
              </w:rPr>
              <w:t>Brak</w:t>
            </w:r>
          </w:p>
          <w:p w14:paraId="67D45041" w14:textId="7A85456B" w:rsidR="00D01969" w:rsidRPr="00D01969" w:rsidRDefault="00D6706C" w:rsidP="00D01969">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Plan ogólny gminy</w:t>
            </w:r>
          </w:p>
        </w:tc>
        <w:tc>
          <w:tcPr>
            <w:tcW w:w="3419" w:type="dxa"/>
            <w:vMerge w:val="restart"/>
          </w:tcPr>
          <w:p w14:paraId="5717BBAF" w14:textId="6B27866B" w:rsidR="00D6706C" w:rsidRPr="00DD7B98" w:rsidRDefault="00D6706C" w:rsidP="002B5B53">
            <w:pPr>
              <w:rPr>
                <w:rFonts w:ascii="Times New Roman" w:hAnsi="Times New Roman" w:cs="Times New Roman"/>
                <w:sz w:val="20"/>
                <w:szCs w:val="20"/>
              </w:rPr>
            </w:pPr>
            <w:r w:rsidRPr="00DD7B98">
              <w:rPr>
                <w:rFonts w:ascii="Times New Roman" w:hAnsi="Times New Roman" w:cs="Times New Roman"/>
                <w:sz w:val="20"/>
                <w:szCs w:val="20"/>
              </w:rPr>
              <w:t xml:space="preserve">Numer i data aktu prawnego, nazwa </w:t>
            </w:r>
            <w:r w:rsidR="00A07F91">
              <w:rPr>
                <w:rFonts w:ascii="Times New Roman" w:hAnsi="Times New Roman" w:cs="Times New Roman"/>
                <w:sz w:val="20"/>
                <w:szCs w:val="20"/>
              </w:rPr>
              <w:t>organu oraz miejsce publikacji</w:t>
            </w:r>
          </w:p>
        </w:tc>
      </w:tr>
      <w:tr w:rsidR="00DF3A2D" w:rsidRPr="00DD7B98" w14:paraId="7DEDBC35" w14:textId="77777777" w:rsidTr="002568E5">
        <w:trPr>
          <w:trHeight w:val="317"/>
        </w:trPr>
        <w:tc>
          <w:tcPr>
            <w:tcW w:w="2810" w:type="dxa"/>
            <w:vMerge/>
            <w:shd w:val="clear" w:color="auto" w:fill="F3F3F3"/>
          </w:tcPr>
          <w:p w14:paraId="2FD7596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673C9041" w14:textId="2387D612" w:rsidR="001D2E01" w:rsidRPr="001D2E01" w:rsidRDefault="008D12DD" w:rsidP="001D2E01">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w:t>
            </w:r>
          </w:p>
          <w:p w14:paraId="738EB79C" w14:textId="05F56CA3" w:rsidR="00D6706C" w:rsidRPr="00DD7B98" w:rsidRDefault="00D6706C" w:rsidP="001D2E01">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Miejscowy plan zagospodarowania przestrzennego</w:t>
            </w:r>
          </w:p>
        </w:tc>
        <w:tc>
          <w:tcPr>
            <w:tcW w:w="3419" w:type="dxa"/>
            <w:vMerge/>
          </w:tcPr>
          <w:p w14:paraId="4526D60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6064654A" w14:textId="77777777" w:rsidTr="002568E5">
        <w:trPr>
          <w:trHeight w:val="317"/>
        </w:trPr>
        <w:tc>
          <w:tcPr>
            <w:tcW w:w="2810" w:type="dxa"/>
            <w:vMerge/>
            <w:shd w:val="clear" w:color="auto" w:fill="F3F3F3"/>
          </w:tcPr>
          <w:p w14:paraId="2EE41FD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71596E8F" w14:textId="77777777" w:rsidR="005109F1" w:rsidRPr="00DD495B" w:rsidRDefault="005109F1" w:rsidP="005109F1">
            <w:pPr>
              <w:spacing w:beforeLines="60" w:before="144" w:afterLines="60" w:after="144" w:line="240" w:lineRule="auto"/>
              <w:rPr>
                <w:rFonts w:ascii="Times New Roman" w:eastAsia="Times New Roman" w:hAnsi="Times New Roman" w:cs="Times New Roman"/>
                <w:color w:val="7030A0"/>
                <w:sz w:val="20"/>
                <w:szCs w:val="20"/>
                <w:lang w:eastAsia="pl-PL"/>
              </w:rPr>
            </w:pPr>
            <w:r w:rsidRPr="00DD495B">
              <w:rPr>
                <w:rFonts w:ascii="Times New Roman" w:eastAsia="Times New Roman" w:hAnsi="Times New Roman" w:cs="Times New Roman"/>
                <w:color w:val="7030A0"/>
                <w:sz w:val="20"/>
                <w:szCs w:val="20"/>
                <w:lang w:eastAsia="pl-PL"/>
              </w:rPr>
              <w:t>Brak</w:t>
            </w:r>
          </w:p>
          <w:p w14:paraId="00A67432" w14:textId="3562A01E" w:rsidR="00D6706C" w:rsidRPr="00DD7B98" w:rsidRDefault="00064B7B"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Miejscowy plan odbudowy</w:t>
            </w:r>
          </w:p>
        </w:tc>
        <w:tc>
          <w:tcPr>
            <w:tcW w:w="3419" w:type="dxa"/>
            <w:vMerge/>
          </w:tcPr>
          <w:p w14:paraId="0CC443A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902405B" w14:textId="77777777" w:rsidTr="002568E5">
        <w:trPr>
          <w:trHeight w:val="317"/>
        </w:trPr>
        <w:tc>
          <w:tcPr>
            <w:tcW w:w="2810" w:type="dxa"/>
            <w:vMerge/>
            <w:shd w:val="clear" w:color="auto" w:fill="F3F3F3"/>
          </w:tcPr>
          <w:p w14:paraId="068EA463"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1F7D4885"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UCHWAŁA NR 746/2022 RADY MIEJSKIEJ W GRODZISKU MAZOWIECKIM</w:t>
            </w:r>
          </w:p>
          <w:p w14:paraId="2453C646"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z dnia 20 kwietnia 2022 r.</w:t>
            </w:r>
          </w:p>
          <w:p w14:paraId="3CEA287F"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lastRenderedPageBreak/>
              <w:t>w sprawie ustalenia zasad i warunków sytuowania na terenie gminy Grodzisk Mazowiecki obiektów małej architektury, tablic reklamowych i urządzeń reklamowych oraz ogrodzeń, ich gabarytów, standardów jakościowych oraz rodzajów materiałów budowlanych, z jakich mogą być wykonane</w:t>
            </w:r>
          </w:p>
          <w:p w14:paraId="0F73D99B"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(Dz. Urz. Woj. Maz. z dnia 26 kwietnia 2022 r. poz. 4917)</w:t>
            </w:r>
          </w:p>
          <w:p w14:paraId="29451354" w14:textId="7BFC0C61" w:rsidR="002B5B53" w:rsidRPr="002B5B53" w:rsidRDefault="00D6706C" w:rsidP="00CC7795">
            <w:pPr>
              <w:spacing w:beforeLines="60" w:before="144" w:afterLines="60" w:after="144" w:line="240" w:lineRule="auto"/>
              <w:rPr>
                <w:rFonts w:ascii="Times New Roman" w:eastAsia="Times New Roman" w:hAnsi="Times New Roman" w:cs="Times New Roman"/>
                <w:sz w:val="20"/>
                <w:szCs w:val="20"/>
                <w:vertAlign w:val="superscript"/>
                <w:lang w:eastAsia="pl-PL"/>
              </w:rPr>
            </w:pPr>
            <w:r w:rsidRPr="00DD7B98">
              <w:rPr>
                <w:rFonts w:ascii="Times New Roman" w:eastAsia="Times New Roman" w:hAnsi="Times New Roman" w:cs="Times New Roman"/>
                <w:sz w:val="20"/>
                <w:szCs w:val="20"/>
                <w:lang w:eastAsia="pl-PL"/>
              </w:rPr>
              <w:t>Inne</w:t>
            </w:r>
            <w:r w:rsidRPr="00DD7B98">
              <w:rPr>
                <w:rFonts w:ascii="Times New Roman" w:eastAsia="Times New Roman" w:hAnsi="Times New Roman" w:cs="Times New Roman"/>
                <w:sz w:val="20"/>
                <w:szCs w:val="20"/>
                <w:vertAlign w:val="superscript"/>
                <w:lang w:eastAsia="pl-PL"/>
              </w:rPr>
              <w:footnoteReference w:customMarkFollows="1" w:id="4"/>
              <w:t>4)</w:t>
            </w:r>
          </w:p>
        </w:tc>
        <w:tc>
          <w:tcPr>
            <w:tcW w:w="3419" w:type="dxa"/>
            <w:vMerge/>
          </w:tcPr>
          <w:p w14:paraId="5A033B2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CED460E" w14:textId="77777777" w:rsidTr="002568E5">
        <w:trPr>
          <w:trHeight w:val="60"/>
        </w:trPr>
        <w:tc>
          <w:tcPr>
            <w:tcW w:w="2810" w:type="dxa"/>
            <w:vMerge w:val="restart"/>
            <w:shd w:val="clear" w:color="auto" w:fill="F3F3F3"/>
          </w:tcPr>
          <w:p w14:paraId="20683C24" w14:textId="0A6A1C37"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Ustalenia obowiązującego miejscowego planu zagospodarowania przestrzennego dla terenu objętego przedsięwzięciem</w:t>
            </w:r>
            <w:r w:rsidR="006C5700">
              <w:rPr>
                <w:rFonts w:ascii="Times New Roman" w:hAnsi="Times New Roman" w:cs="Times New Roman"/>
                <w:sz w:val="20"/>
                <w:szCs w:val="20"/>
              </w:rPr>
              <w:t xml:space="preserve"> </w:t>
            </w:r>
            <w:r w:rsidRPr="00DD7B98">
              <w:rPr>
                <w:rFonts w:ascii="Times New Roman" w:hAnsi="Times New Roman" w:cs="Times New Roman"/>
                <w:sz w:val="20"/>
                <w:szCs w:val="20"/>
              </w:rPr>
              <w:t>deweloperskim lub zadaniem inwestycyjnym</w:t>
            </w:r>
          </w:p>
        </w:tc>
        <w:tc>
          <w:tcPr>
            <w:tcW w:w="3419" w:type="dxa"/>
          </w:tcPr>
          <w:p w14:paraId="59D7EA3F" w14:textId="470675C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Przeznaczenie terenu</w:t>
            </w:r>
          </w:p>
        </w:tc>
        <w:tc>
          <w:tcPr>
            <w:tcW w:w="3419" w:type="dxa"/>
          </w:tcPr>
          <w:p w14:paraId="4B42636E" w14:textId="590EA0AF" w:rsidR="001D2E01" w:rsidRPr="001D2E01" w:rsidRDefault="008D12DD" w:rsidP="00E10302">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4B8AC600" w14:textId="77777777" w:rsidTr="002568E5">
        <w:trPr>
          <w:trHeight w:val="51"/>
        </w:trPr>
        <w:tc>
          <w:tcPr>
            <w:tcW w:w="2810" w:type="dxa"/>
            <w:vMerge/>
            <w:shd w:val="clear" w:color="auto" w:fill="F3F3F3"/>
          </w:tcPr>
          <w:p w14:paraId="45A571C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70AF8AB" w14:textId="645073A9"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Maksymalna intensywność zabudowy</w:t>
            </w:r>
          </w:p>
        </w:tc>
        <w:tc>
          <w:tcPr>
            <w:tcW w:w="3419" w:type="dxa"/>
          </w:tcPr>
          <w:p w14:paraId="7AF2B15A" w14:textId="33740086" w:rsidR="009A45B4"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E3F3E7D" w14:textId="77777777" w:rsidTr="002568E5">
        <w:trPr>
          <w:trHeight w:val="51"/>
        </w:trPr>
        <w:tc>
          <w:tcPr>
            <w:tcW w:w="2810" w:type="dxa"/>
            <w:vMerge/>
            <w:shd w:val="clear" w:color="auto" w:fill="F3F3F3"/>
          </w:tcPr>
          <w:p w14:paraId="25DAD50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72B3E04" w14:textId="7EB43A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Maksymalna i minimalna nadziemna intensywność zabudowy</w:t>
            </w:r>
          </w:p>
        </w:tc>
        <w:tc>
          <w:tcPr>
            <w:tcW w:w="3419" w:type="dxa"/>
          </w:tcPr>
          <w:p w14:paraId="30F6FC71" w14:textId="62DB5D5C"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DD4CD82" w14:textId="77777777" w:rsidTr="002568E5">
        <w:trPr>
          <w:trHeight w:val="51"/>
        </w:trPr>
        <w:tc>
          <w:tcPr>
            <w:tcW w:w="2810" w:type="dxa"/>
            <w:vMerge/>
            <w:shd w:val="clear" w:color="auto" w:fill="F3F3F3"/>
          </w:tcPr>
          <w:p w14:paraId="2B4D07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518DA95" w14:textId="77777777" w:rsidR="00D6706C" w:rsidRPr="00BD64C8" w:rsidRDefault="00D6706C" w:rsidP="00BD64C8">
            <w:pPr>
              <w:spacing w:before="240"/>
              <w:rPr>
                <w:rFonts w:ascii="Times New Roman" w:eastAsia="Times New Roman" w:hAnsi="Times New Roman" w:cs="Times New Roman"/>
                <w:sz w:val="20"/>
                <w:szCs w:val="20"/>
              </w:rPr>
            </w:pPr>
            <w:r w:rsidRPr="00BD64C8">
              <w:rPr>
                <w:rFonts w:ascii="Times New Roman" w:hAnsi="Times New Roman" w:cs="Times New Roman"/>
                <w:sz w:val="20"/>
                <w:szCs w:val="20"/>
              </w:rPr>
              <w:t>Maksymalna powierzchnia zabudowy</w:t>
            </w:r>
          </w:p>
        </w:tc>
        <w:tc>
          <w:tcPr>
            <w:tcW w:w="3419" w:type="dxa"/>
          </w:tcPr>
          <w:p w14:paraId="6586576D" w14:textId="5D7EF0A3" w:rsidR="009A45B4" w:rsidRPr="00BD64C8" w:rsidRDefault="008D12DD" w:rsidP="009A45B4">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C898C27" w14:textId="77777777" w:rsidTr="002568E5">
        <w:trPr>
          <w:trHeight w:val="51"/>
        </w:trPr>
        <w:tc>
          <w:tcPr>
            <w:tcW w:w="2810" w:type="dxa"/>
            <w:vMerge/>
            <w:shd w:val="clear" w:color="auto" w:fill="F3F3F3"/>
          </w:tcPr>
          <w:p w14:paraId="17DCD70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0E332468" w14:textId="03DAB2F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5B0867F8" w14:textId="34F78C78"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5E9502AC" w14:textId="77777777" w:rsidTr="002568E5">
        <w:trPr>
          <w:trHeight w:val="51"/>
        </w:trPr>
        <w:tc>
          <w:tcPr>
            <w:tcW w:w="2810" w:type="dxa"/>
            <w:vMerge/>
            <w:shd w:val="clear" w:color="auto" w:fill="F3F3F3"/>
          </w:tcPr>
          <w:p w14:paraId="73D2A6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3396AE2" w14:textId="3004A6AF"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7CC64D6B" w14:textId="523548B3"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1803B071" w14:textId="77777777" w:rsidTr="002568E5">
        <w:trPr>
          <w:trHeight w:val="51"/>
        </w:trPr>
        <w:tc>
          <w:tcPr>
            <w:tcW w:w="2810" w:type="dxa"/>
            <w:vMerge/>
            <w:shd w:val="clear" w:color="auto" w:fill="F3F3F3"/>
          </w:tcPr>
          <w:p w14:paraId="1594639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8BE63C9" w14:textId="639D1AB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tcPr>
          <w:p w14:paraId="3B07097C" w14:textId="75EC3C84" w:rsidR="00FC41B9" w:rsidRPr="00DD7B98" w:rsidRDefault="008D12DD"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DB3CD0C" w14:textId="77777777" w:rsidTr="002568E5">
        <w:trPr>
          <w:trHeight w:val="51"/>
        </w:trPr>
        <w:tc>
          <w:tcPr>
            <w:tcW w:w="2810" w:type="dxa"/>
            <w:vMerge/>
            <w:shd w:val="clear" w:color="auto" w:fill="F3F3F3"/>
          </w:tcPr>
          <w:p w14:paraId="6094A316"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415A22" w14:textId="6414386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032BADB6" w14:textId="1561807E" w:rsidR="001D2E01"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CD11FEC" w14:textId="77777777" w:rsidTr="002568E5">
        <w:trPr>
          <w:trHeight w:val="51"/>
        </w:trPr>
        <w:tc>
          <w:tcPr>
            <w:tcW w:w="2810" w:type="dxa"/>
            <w:vMerge/>
            <w:shd w:val="clear" w:color="auto" w:fill="F3F3F3"/>
          </w:tcPr>
          <w:p w14:paraId="35CE2C7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8C9950" w14:textId="583074B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49E261DC" w14:textId="107AD1D5" w:rsidR="00FC41B9" w:rsidRPr="00DD7B98" w:rsidRDefault="00270BEE"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23B27866" w14:textId="77777777" w:rsidTr="002568E5">
        <w:trPr>
          <w:trHeight w:val="51"/>
        </w:trPr>
        <w:tc>
          <w:tcPr>
            <w:tcW w:w="2810" w:type="dxa"/>
            <w:vMerge/>
            <w:shd w:val="clear" w:color="auto" w:fill="F3F3F3"/>
          </w:tcPr>
          <w:p w14:paraId="4DC262E5"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558D3F1" w14:textId="5EB899AD"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BC79BD8" w14:textId="28E21C15" w:rsidR="009A45B4" w:rsidRPr="00DD7B98" w:rsidRDefault="00270BEE"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BDE24D6" w14:textId="77777777" w:rsidTr="002568E5">
        <w:trPr>
          <w:trHeight w:val="51"/>
        </w:trPr>
        <w:tc>
          <w:tcPr>
            <w:tcW w:w="2810" w:type="dxa"/>
            <w:vMerge/>
            <w:shd w:val="clear" w:color="auto" w:fill="F3F3F3"/>
          </w:tcPr>
          <w:p w14:paraId="10C1AD1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11ACCA8" w14:textId="668E83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2C2A3FCB" w14:textId="37F47AB2"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55DBAB6" w14:textId="77777777" w:rsidTr="002568E5">
        <w:trPr>
          <w:trHeight w:val="51"/>
        </w:trPr>
        <w:tc>
          <w:tcPr>
            <w:tcW w:w="2810" w:type="dxa"/>
            <w:vMerge/>
            <w:shd w:val="clear" w:color="auto" w:fill="F3F3F3"/>
          </w:tcPr>
          <w:p w14:paraId="44381AA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7627A1D" w14:textId="467E1F91"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komunikacji</w:t>
            </w:r>
          </w:p>
        </w:tc>
        <w:tc>
          <w:tcPr>
            <w:tcW w:w="3419" w:type="dxa"/>
          </w:tcPr>
          <w:p w14:paraId="57F38C64" w14:textId="46D35C27"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B01F8DF" w14:textId="77777777" w:rsidTr="002568E5">
        <w:trPr>
          <w:trHeight w:val="51"/>
        </w:trPr>
        <w:tc>
          <w:tcPr>
            <w:tcW w:w="2810" w:type="dxa"/>
            <w:vMerge/>
            <w:shd w:val="clear" w:color="auto" w:fill="F3F3F3"/>
          </w:tcPr>
          <w:p w14:paraId="67D09E8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95F572C" w14:textId="5B8271F3"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69A0058E" w14:textId="7FC47FAF" w:rsidR="00976F86" w:rsidRPr="00DD7B98" w:rsidRDefault="00270BEE" w:rsidP="00976F86">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1A1E9DF" w14:textId="77777777" w:rsidTr="00B16B69">
        <w:trPr>
          <w:trHeight w:val="288"/>
        </w:trPr>
        <w:tc>
          <w:tcPr>
            <w:tcW w:w="2810" w:type="dxa"/>
            <w:vMerge w:val="restart"/>
            <w:shd w:val="clear" w:color="auto" w:fill="F3F3F3"/>
          </w:tcPr>
          <w:p w14:paraId="2650F0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sidR="00502F5D" w:rsidRPr="00DD7B98">
              <w:rPr>
                <w:rStyle w:val="IGindeksgrny"/>
                <w:rFonts w:ascii="Times New Roman" w:hAnsi="Times New Roman" w:cs="Times New Roman"/>
                <w:sz w:val="20"/>
                <w:szCs w:val="20"/>
              </w:rPr>
              <w:footnoteReference w:id="5"/>
            </w:r>
            <w:r w:rsidR="00502F5D" w:rsidRPr="00DD7B98">
              <w:rPr>
                <w:rStyle w:val="IGindeksgrny"/>
                <w:rFonts w:ascii="Times New Roman" w:hAnsi="Times New Roman" w:cs="Times New Roman"/>
                <w:sz w:val="20"/>
                <w:szCs w:val="20"/>
              </w:rPr>
              <w:t>)</w:t>
            </w:r>
          </w:p>
        </w:tc>
        <w:tc>
          <w:tcPr>
            <w:tcW w:w="3419" w:type="dxa"/>
          </w:tcPr>
          <w:p w14:paraId="0A1611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34DBF">
              <w:rPr>
                <w:rFonts w:ascii="Times New Roman" w:eastAsia="Times New Roman" w:hAnsi="Times New Roman" w:cs="Times New Roman"/>
                <w:sz w:val="20"/>
                <w:szCs w:val="20"/>
                <w:lang w:eastAsia="pl-PL"/>
              </w:rPr>
              <w:t>Przeznaczenie terenu</w:t>
            </w:r>
          </w:p>
        </w:tc>
        <w:tc>
          <w:tcPr>
            <w:tcW w:w="3419" w:type="dxa"/>
          </w:tcPr>
          <w:p w14:paraId="5BAA612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Uchwała nr 689/2010 Rady Miejskiej w Grodzisku Mazowieckim z dnia 31 sierpnia 2010 r. w sprawie uchwalenia miejscowego planu zagospodarowania przestrzennego dla części terenu miasta Grodzisk Mazowiecki Jednostka „C2”</w:t>
            </w:r>
          </w:p>
          <w:p w14:paraId="325D7300"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4611A76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2E511E66"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a) podstawowe: zabudowa mieszkaniowa jednorodzinna,</w:t>
            </w:r>
          </w:p>
          <w:p w14:paraId="7907F70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 dopuszczalne:</w:t>
            </w:r>
          </w:p>
          <w:p w14:paraId="419DE9A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usługi nieuciążliwe wbudowane i wolnostojące,</w:t>
            </w:r>
          </w:p>
          <w:p w14:paraId="621927B2"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garaże, miejsca parkingowe, obiekty małej architektury, zieleń urządzona, sieci infrastruktury technicznej.</w:t>
            </w:r>
          </w:p>
          <w:p w14:paraId="7A14BFD0"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090F7AD6"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31E8295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las.</w:t>
            </w:r>
          </w:p>
          <w:p w14:paraId="328731B8"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w:t>
            </w:r>
          </w:p>
          <w:p w14:paraId="078B396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Uchwała nr 754/2022 Rady Miejskiej w Grodzisku Mazowieckim z dnia 25 maja 2022 r. w sprawie miejscowego planu zagospodarowania przestrzennego dla części terenu miasta Grodzisk Mazowiecki Jednostka C1 po południowej stronie ul. Piaskowej – obszar II.</w:t>
            </w:r>
          </w:p>
          <w:p w14:paraId="032540C4"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473262B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7301D33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28108919" w14:textId="77777777" w:rsidR="005109F1" w:rsidRPr="00644797" w:rsidRDefault="005109F1" w:rsidP="005109F1">
            <w:pPr>
              <w:spacing w:before="144" w:after="144"/>
              <w:rPr>
                <w:rFonts w:ascii="Times New Roman" w:hAnsi="Times New Roman" w:cs="Times New Roman"/>
                <w:color w:val="EE0000"/>
                <w:sz w:val="20"/>
              </w:rPr>
            </w:pPr>
            <w:r w:rsidRPr="00644797">
              <w:rPr>
                <w:rFonts w:ascii="Times New Roman" w:eastAsia="Times New Roman" w:hAnsi="Times New Roman" w:cs="Times New Roman"/>
                <w:color w:val="EE0000"/>
                <w:sz w:val="20"/>
                <w:szCs w:val="20"/>
                <w:lang w:eastAsia="pl-PL"/>
              </w:rPr>
              <w:lastRenderedPageBreak/>
              <w:t>a)</w:t>
            </w:r>
            <w:r w:rsidRPr="00644797">
              <w:rPr>
                <w:rFonts w:ascii="Times New Roman" w:hAnsi="Times New Roman" w:cs="Times New Roman"/>
                <w:color w:val="EE0000"/>
                <w:sz w:val="20"/>
              </w:rPr>
              <w:t xml:space="preserve"> przeznaczenie podstawowe: zabudowa mieszkaniowa jednorodzinna,</w:t>
            </w:r>
          </w:p>
          <w:p w14:paraId="1D684CD7" w14:textId="77777777" w:rsidR="005109F1" w:rsidRPr="00644797" w:rsidRDefault="005109F1" w:rsidP="005109F1">
            <w:pPr>
              <w:spacing w:before="144" w:after="144"/>
              <w:rPr>
                <w:rFonts w:ascii="Times New Roman" w:hAnsi="Times New Roman" w:cs="Times New Roman"/>
                <w:color w:val="EE0000"/>
                <w:sz w:val="20"/>
              </w:rPr>
            </w:pPr>
            <w:r w:rsidRPr="00644797">
              <w:rPr>
                <w:rFonts w:ascii="Times New Roman" w:hAnsi="Times New Roman" w:cs="Times New Roman"/>
                <w:color w:val="EE0000"/>
                <w:sz w:val="20"/>
              </w:rPr>
              <w:t>b) przeznaczenie towarzyszące: urządzenia budowlane, garaże, budynki gospodarcze, zieleń urządzona, dojazdy,</w:t>
            </w:r>
          </w:p>
          <w:p w14:paraId="455895E4" w14:textId="77777777" w:rsidR="005109F1" w:rsidRPr="00644797" w:rsidRDefault="005109F1" w:rsidP="005109F1">
            <w:pPr>
              <w:spacing w:before="144" w:after="144"/>
              <w:rPr>
                <w:rFonts w:ascii="Times New Roman" w:hAnsi="Times New Roman" w:cs="Times New Roman"/>
                <w:color w:val="EE0000"/>
                <w:sz w:val="20"/>
              </w:rPr>
            </w:pPr>
            <w:r w:rsidRPr="00644797">
              <w:rPr>
                <w:rFonts w:ascii="Times New Roman" w:hAnsi="Times New Roman" w:cs="Times New Roman"/>
                <w:color w:val="EE0000"/>
                <w:sz w:val="20"/>
              </w:rPr>
              <w:t>c) przeznaczenie dopuszczalne: usługi, infrastruktura techniczna.</w:t>
            </w:r>
          </w:p>
          <w:p w14:paraId="727B3819"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7C2402F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0C93203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0348A1E6"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1477B0F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a) przeznaczenie podstawowe: drogi publiczne klasy dojazdowej,</w:t>
            </w:r>
          </w:p>
          <w:p w14:paraId="4ECC1D31"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 przeznaczenie towarzyszące:</w:t>
            </w:r>
          </w:p>
          <w:p w14:paraId="0788B32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chodniki, zieleń urządzona, rowy,</w:t>
            </w:r>
          </w:p>
          <w:p w14:paraId="0B9D6E6C" w14:textId="224D842F" w:rsidR="00411C10" w:rsidRPr="00137B14" w:rsidRDefault="005109F1" w:rsidP="005109F1">
            <w:pPr>
              <w:spacing w:before="144" w:after="144"/>
              <w:rPr>
                <w:rFonts w:ascii="Times New Roman" w:eastAsia="Times New Roman" w:hAnsi="Times New Roman" w:cs="Times New Roman"/>
                <w:sz w:val="20"/>
                <w:szCs w:val="20"/>
                <w:lang w:eastAsia="pl-PL"/>
              </w:rPr>
            </w:pPr>
            <w:r w:rsidRPr="00644797">
              <w:rPr>
                <w:rFonts w:ascii="Times New Roman" w:eastAsia="Times New Roman" w:hAnsi="Times New Roman" w:cs="Times New Roman"/>
                <w:color w:val="EE0000"/>
                <w:sz w:val="20"/>
                <w:szCs w:val="20"/>
                <w:lang w:eastAsia="pl-PL"/>
              </w:rPr>
              <w:t>c) przeznaczenie dopuszczalne: infrastruktura techniczna nie związana z drogą.</w:t>
            </w:r>
          </w:p>
        </w:tc>
      </w:tr>
      <w:tr w:rsidR="00DF3A2D" w:rsidRPr="00DD7B98" w14:paraId="33481CC9" w14:textId="77777777" w:rsidTr="00B16B69">
        <w:trPr>
          <w:trHeight w:val="288"/>
        </w:trPr>
        <w:tc>
          <w:tcPr>
            <w:tcW w:w="2810" w:type="dxa"/>
            <w:vMerge/>
            <w:shd w:val="clear" w:color="auto" w:fill="F3F3F3"/>
          </w:tcPr>
          <w:p w14:paraId="2B95D22D"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DACCAB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intensywność zabudowy</w:t>
            </w:r>
          </w:p>
        </w:tc>
        <w:tc>
          <w:tcPr>
            <w:tcW w:w="3419" w:type="dxa"/>
          </w:tcPr>
          <w:p w14:paraId="20DD034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59D320C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139DE47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2B525F1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1217594A" w14:textId="77777777" w:rsidR="005109F1" w:rsidRPr="00644797" w:rsidRDefault="005109F1" w:rsidP="005109F1">
            <w:pPr>
              <w:spacing w:before="240"/>
              <w:rPr>
                <w:color w:val="EE0000"/>
              </w:rPr>
            </w:pPr>
            <w:r w:rsidRPr="00644797">
              <w:rPr>
                <w:color w:val="EE0000"/>
              </w:rPr>
              <w:t>-------------------------------------------</w:t>
            </w:r>
          </w:p>
          <w:p w14:paraId="24C9347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55EF799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5F19BD46"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maksymalną intensywność zabudowy: 1,2 dla wszystkich kondygnacji, a 1,0 tylko dla kondygnacji nadziemnych.</w:t>
            </w:r>
          </w:p>
          <w:p w14:paraId="797F119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1AD22AD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0BC340D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58EA6596" w14:textId="5C9C63A8" w:rsidR="00935226" w:rsidRPr="0074139B" w:rsidRDefault="005109F1" w:rsidP="005109F1">
            <w:pPr>
              <w:spacing w:before="144" w:after="144"/>
              <w:rPr>
                <w:rFonts w:ascii="Times New Roman" w:eastAsia="Times New Roman" w:hAnsi="Times New Roman" w:cs="Times New Roman"/>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6012EE54" w14:textId="77777777" w:rsidTr="00B16B69">
        <w:trPr>
          <w:trHeight w:val="288"/>
        </w:trPr>
        <w:tc>
          <w:tcPr>
            <w:tcW w:w="2810" w:type="dxa"/>
            <w:vMerge/>
            <w:shd w:val="clear" w:color="auto" w:fill="F3F3F3"/>
          </w:tcPr>
          <w:p w14:paraId="70851712"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CD2F564"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 minimalna nadziemna intensywność zabudowy</w:t>
            </w:r>
          </w:p>
        </w:tc>
        <w:tc>
          <w:tcPr>
            <w:tcW w:w="3419" w:type="dxa"/>
          </w:tcPr>
          <w:p w14:paraId="25A0F834"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06EF72D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lastRenderedPageBreak/>
              <w:t>brak postanowień planu w tym zakresie.</w:t>
            </w:r>
          </w:p>
          <w:p w14:paraId="2B15BDBC"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7C1C9309"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6F41B3E2" w14:textId="77777777" w:rsidR="005109F1" w:rsidRPr="00644797" w:rsidRDefault="005109F1" w:rsidP="005109F1">
            <w:pPr>
              <w:spacing w:before="240"/>
              <w:rPr>
                <w:color w:val="EE0000"/>
              </w:rPr>
            </w:pPr>
            <w:r w:rsidRPr="00644797">
              <w:rPr>
                <w:color w:val="EE0000"/>
              </w:rPr>
              <w:t>-------------------------------------------</w:t>
            </w:r>
          </w:p>
          <w:p w14:paraId="469EC96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54A26331"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74C42DA8"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5188496"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38A34064"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69EA0442"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041CCDE1" w14:textId="51B24033" w:rsidR="00D6706C" w:rsidRPr="00C92BAF" w:rsidRDefault="005109F1" w:rsidP="005109F1">
            <w:pPr>
              <w:spacing w:before="144" w:after="144"/>
              <w:rPr>
                <w:rFonts w:ascii="Times New Roman" w:eastAsia="Times New Roman" w:hAnsi="Times New Roman" w:cs="Times New Roman"/>
                <w:color w:val="7030A0"/>
                <w:sz w:val="20"/>
                <w:szCs w:val="20"/>
                <w:highlight w:val="yellow"/>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72C45369" w14:textId="77777777" w:rsidTr="00B16B69">
        <w:trPr>
          <w:trHeight w:val="288"/>
        </w:trPr>
        <w:tc>
          <w:tcPr>
            <w:tcW w:w="2810" w:type="dxa"/>
            <w:vMerge/>
            <w:shd w:val="clear" w:color="auto" w:fill="F3F3F3"/>
          </w:tcPr>
          <w:p w14:paraId="514DF23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6512E4C" w14:textId="77777777" w:rsidR="00D6706C" w:rsidRPr="0074139B"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Maksymalna powierzchnia zabudowy</w:t>
            </w:r>
          </w:p>
        </w:tc>
        <w:tc>
          <w:tcPr>
            <w:tcW w:w="3419" w:type="dxa"/>
          </w:tcPr>
          <w:p w14:paraId="0D03D0C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666E14B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ustala się powierzchnię zabudowy budynków na nie więcej niż 40% powierzchni działki budowlanej.</w:t>
            </w:r>
          </w:p>
          <w:p w14:paraId="281EE02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4389AF7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141DB277" w14:textId="77777777" w:rsidR="005109F1" w:rsidRPr="00644797" w:rsidRDefault="005109F1" w:rsidP="005109F1">
            <w:pPr>
              <w:spacing w:before="240"/>
              <w:rPr>
                <w:color w:val="EE0000"/>
              </w:rPr>
            </w:pPr>
            <w:r w:rsidRPr="00644797">
              <w:rPr>
                <w:color w:val="EE0000"/>
              </w:rPr>
              <w:t>-------------------------------------------</w:t>
            </w:r>
          </w:p>
          <w:p w14:paraId="52543C39"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04972B01"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3659861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37A6AE4"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2A635F5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414D03B0"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6369F40C" w14:textId="42935F8A" w:rsidR="00F92C8C" w:rsidRPr="0074139B" w:rsidRDefault="005109F1" w:rsidP="005109F1">
            <w:pPr>
              <w:spacing w:before="144" w:after="144"/>
              <w:rPr>
                <w:rFonts w:ascii="Times New Roman" w:eastAsia="Times New Roman" w:hAnsi="Times New Roman" w:cs="Times New Roman"/>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CC5FC4" w:rsidRPr="00DD7B98" w14:paraId="11E02B7C" w14:textId="77777777" w:rsidTr="00B16B69">
        <w:trPr>
          <w:trHeight w:val="288"/>
        </w:trPr>
        <w:tc>
          <w:tcPr>
            <w:tcW w:w="2810" w:type="dxa"/>
            <w:vMerge/>
            <w:shd w:val="clear" w:color="auto" w:fill="F3F3F3"/>
          </w:tcPr>
          <w:p w14:paraId="70C0E84A"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39C568B"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6313B26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05AF79CD" w14:textId="77777777" w:rsidR="005109F1"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ustala się maksymalną wysokość zabudowy na nie więcej niż dwie kondygnacje nadziemne z dopuszczeniem realizacji trzeciej kondygnacji w bryle dachu, nie więcej niż 12m.</w:t>
            </w:r>
          </w:p>
          <w:p w14:paraId="7FA4F3E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lastRenderedPageBreak/>
              <w:t>C2-34-ZL</w:t>
            </w:r>
          </w:p>
          <w:p w14:paraId="762D888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4BDC37C1" w14:textId="77777777" w:rsidR="005109F1" w:rsidRPr="00644797" w:rsidRDefault="005109F1" w:rsidP="005109F1">
            <w:pPr>
              <w:spacing w:before="240"/>
              <w:rPr>
                <w:color w:val="EE0000"/>
              </w:rPr>
            </w:pPr>
            <w:r w:rsidRPr="00644797">
              <w:rPr>
                <w:color w:val="EE0000"/>
              </w:rPr>
              <w:t>-------------------------------------------</w:t>
            </w:r>
          </w:p>
          <w:p w14:paraId="5A53B94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58F8EF81"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6108FF9A"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maksymalną wysokość zabudowy 12 m, przy czym: 12 m dla budynków mieszkalnych; 6,5 m dla budynków usługowych, gospodarczych i garaży.</w:t>
            </w:r>
          </w:p>
          <w:p w14:paraId="3142ABA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65C1324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3FB21E70"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0FB0EF7C" w14:textId="527B6019" w:rsidR="00DB5F71" w:rsidRPr="005109F1" w:rsidRDefault="005109F1" w:rsidP="00C8732F">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2AF0E2B2" w14:textId="77777777" w:rsidTr="00B16B69">
        <w:trPr>
          <w:trHeight w:val="288"/>
        </w:trPr>
        <w:tc>
          <w:tcPr>
            <w:tcW w:w="2810" w:type="dxa"/>
            <w:vMerge/>
            <w:shd w:val="clear" w:color="auto" w:fill="F3F3F3"/>
          </w:tcPr>
          <w:p w14:paraId="5FF0F9C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AAC31C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470D8FEE"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6E57718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nakazuje się utrzymanie minimalnego udziału powierzchni biologicznie czynnej działek budowlanych, co najmniej 50% powierzchni działki.</w:t>
            </w:r>
          </w:p>
          <w:p w14:paraId="2BAB409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63DA37D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459C785D" w14:textId="77777777" w:rsidR="005109F1" w:rsidRPr="00644797" w:rsidRDefault="005109F1" w:rsidP="005109F1">
            <w:pPr>
              <w:spacing w:before="240"/>
              <w:rPr>
                <w:color w:val="EE0000"/>
              </w:rPr>
            </w:pPr>
            <w:r w:rsidRPr="00644797">
              <w:rPr>
                <w:color w:val="EE0000"/>
              </w:rPr>
              <w:t>-------------------------------------------</w:t>
            </w:r>
          </w:p>
          <w:p w14:paraId="1EC2520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1FD223B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5BB04A3D"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minimalny udział procentowy powierzchni biologicznie czynnej: 50%.</w:t>
            </w:r>
          </w:p>
          <w:p w14:paraId="151CF98D"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139E659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3EAB799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7AFF3067" w14:textId="536470BE" w:rsidR="00D6706C" w:rsidRPr="00C92BAF" w:rsidRDefault="005109F1" w:rsidP="005109F1">
            <w:pPr>
              <w:spacing w:before="144" w:after="144"/>
              <w:rPr>
                <w:rFonts w:ascii="Times New Roman" w:eastAsia="Times New Roman" w:hAnsi="Times New Roman" w:cs="Times New Roman"/>
                <w:color w:val="7030A0"/>
                <w:sz w:val="20"/>
                <w:szCs w:val="20"/>
                <w:highlight w:val="yellow"/>
                <w:lang w:eastAsia="pl-PL"/>
              </w:rPr>
            </w:pPr>
            <w:r w:rsidRPr="00644797">
              <w:rPr>
                <w:rFonts w:ascii="Times New Roman" w:eastAsia="Times New Roman" w:hAnsi="Times New Roman" w:cs="Times New Roman"/>
                <w:color w:val="EE0000"/>
                <w:sz w:val="20"/>
                <w:szCs w:val="20"/>
                <w:lang w:eastAsia="pl-PL"/>
              </w:rPr>
              <w:t>- ustala się minimalny udział procentowy powierzchni biologicznie czynnej – 0,1%.</w:t>
            </w:r>
          </w:p>
        </w:tc>
      </w:tr>
      <w:tr w:rsidR="00DF3A2D" w:rsidRPr="00DD7B98" w14:paraId="541C1673" w14:textId="77777777" w:rsidTr="00B16B69">
        <w:trPr>
          <w:trHeight w:val="288"/>
        </w:trPr>
        <w:tc>
          <w:tcPr>
            <w:tcW w:w="2810" w:type="dxa"/>
            <w:vMerge/>
            <w:shd w:val="clear" w:color="auto" w:fill="F3F3F3"/>
          </w:tcPr>
          <w:p w14:paraId="7635832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DF4793A"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tcPr>
          <w:p w14:paraId="74E78538"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0E833F87"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nakazuje się zapewnienie miejsc parkingowych dla pojazdów użytkowników w obrębie posesji przy zachowaniu wskaźnika: co najmniej 2</w:t>
            </w:r>
            <w:r>
              <w:rPr>
                <w:rFonts w:ascii="Times New Roman" w:eastAsia="Times New Roman" w:hAnsi="Times New Roman" w:cs="Times New Roman"/>
                <w:color w:val="EE0000"/>
                <w:sz w:val="20"/>
                <w:szCs w:val="20"/>
                <w:lang w:eastAsia="pl-PL"/>
              </w:rPr>
              <w:t xml:space="preserve"> </w:t>
            </w:r>
            <w:r w:rsidRPr="00644797">
              <w:rPr>
                <w:rFonts w:ascii="Times New Roman" w:eastAsia="Times New Roman" w:hAnsi="Times New Roman" w:cs="Times New Roman"/>
                <w:color w:val="EE0000"/>
                <w:sz w:val="20"/>
                <w:szCs w:val="20"/>
                <w:lang w:eastAsia="pl-PL"/>
              </w:rPr>
              <w:lastRenderedPageBreak/>
              <w:t>miejsca postojowe na lokal mieszkalny oraz 3 miejsca postojowe na 100 m² pow. usługowej.</w:t>
            </w:r>
          </w:p>
          <w:p w14:paraId="5C28D62A"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25ACE4F9"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74D8E485" w14:textId="77777777" w:rsidR="005109F1" w:rsidRPr="00644797" w:rsidRDefault="005109F1" w:rsidP="005109F1">
            <w:pPr>
              <w:spacing w:before="240"/>
              <w:rPr>
                <w:color w:val="EE0000"/>
              </w:rPr>
            </w:pPr>
            <w:r w:rsidRPr="00644797">
              <w:rPr>
                <w:color w:val="EE0000"/>
              </w:rPr>
              <w:t>-------------------------------------------</w:t>
            </w:r>
          </w:p>
          <w:p w14:paraId="3FC3A7C5"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5008084F"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5F338D13"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nakazuje się realizację miejsc do parkowania według minimalnego wskaźnika określonego na:</w:t>
            </w:r>
          </w:p>
          <w:p w14:paraId="57B7EB97"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- 1 miejsce do parkowania na 1 mieszkanie do 60 m2 powierzchni użytkowej mieszkania,</w:t>
            </w:r>
          </w:p>
          <w:p w14:paraId="45D5E9F4"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- 2 miejsca do parkowania na 1 mieszkanie powyżej 60 m2 powierzchni użytkowej mieszkania,</w:t>
            </w:r>
          </w:p>
          <w:p w14:paraId="3A7D1746"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- 3 miejsca do parkowania na 100 m2 powierzchni użytkowej dla handlu i usług,</w:t>
            </w:r>
          </w:p>
          <w:p w14:paraId="6BF2A5E7" w14:textId="77777777" w:rsidR="005109F1" w:rsidRPr="00644797" w:rsidRDefault="005109F1" w:rsidP="005109F1">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dla urządzeń infrastruktury technicznej odpowiednio według potrzeb.</w:t>
            </w:r>
          </w:p>
          <w:p w14:paraId="56D38813"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0C18362B"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17E2CD5D" w14:textId="77777777" w:rsidR="005109F1" w:rsidRPr="00644797" w:rsidRDefault="005109F1" w:rsidP="005109F1">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26DBAA2C" w14:textId="72ED3609" w:rsidR="00D6706C" w:rsidRPr="00C92BAF" w:rsidRDefault="005109F1" w:rsidP="005109F1">
            <w:pPr>
              <w:spacing w:before="144" w:after="144"/>
              <w:rPr>
                <w:rFonts w:ascii="Times New Roman" w:eastAsia="Times New Roman" w:hAnsi="Times New Roman" w:cs="Times New Roman"/>
                <w:color w:val="7030A0"/>
                <w:sz w:val="20"/>
                <w:szCs w:val="20"/>
                <w:highlight w:val="yellow"/>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F7371C" w:rsidRPr="00DD7B98" w14:paraId="65884B4D" w14:textId="77777777" w:rsidTr="00FC41B9">
        <w:trPr>
          <w:trHeight w:val="1408"/>
        </w:trPr>
        <w:tc>
          <w:tcPr>
            <w:tcW w:w="2810" w:type="dxa"/>
            <w:vMerge w:val="restart"/>
            <w:shd w:val="clear" w:color="auto" w:fill="F3F3F3"/>
          </w:tcPr>
          <w:p w14:paraId="1145473D" w14:textId="467CE875"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419" w:type="dxa"/>
          </w:tcPr>
          <w:p w14:paraId="398F5DEF" w14:textId="17647073" w:rsidR="00E22F9F" w:rsidRPr="00DD7B98" w:rsidRDefault="00034D4E" w:rsidP="00E22F9F">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29CABA51" w14:textId="07EF91DE"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Funkcja zabudowy i zagospodarowania terenu</w:t>
            </w:r>
          </w:p>
        </w:tc>
        <w:tc>
          <w:tcPr>
            <w:tcW w:w="3419" w:type="dxa"/>
          </w:tcPr>
          <w:p w14:paraId="6FF6F81C" w14:textId="77777777" w:rsidR="00034D4E" w:rsidRPr="00DD7B98" w:rsidRDefault="00034D4E"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615A7005" w14:textId="747B42BA" w:rsidR="00F7371C" w:rsidRPr="00E22F9F" w:rsidRDefault="00F7371C" w:rsidP="006C5700">
            <w:pPr>
              <w:rPr>
                <w:rFonts w:ascii="Times New Roman" w:hAnsi="Times New Roman" w:cs="Times New Roman"/>
                <w:sz w:val="20"/>
                <w:szCs w:val="20"/>
              </w:rPr>
            </w:pPr>
            <w:r w:rsidRPr="00E22F9F">
              <w:rPr>
                <w:rFonts w:ascii="Times New Roman" w:hAnsi="Times New Roman" w:cs="Times New Roman"/>
                <w:sz w:val="20"/>
                <w:szCs w:val="20"/>
              </w:rPr>
              <w:t>Sposób użytkowania obiektów budowlanych oraz zagospodarowania terenu</w:t>
            </w:r>
          </w:p>
        </w:tc>
      </w:tr>
      <w:tr w:rsidR="00F7371C" w:rsidRPr="00DD7B98" w14:paraId="2968D058" w14:textId="77777777" w:rsidTr="00B16B69">
        <w:trPr>
          <w:trHeight w:val="181"/>
        </w:trPr>
        <w:tc>
          <w:tcPr>
            <w:tcW w:w="2810" w:type="dxa"/>
            <w:vMerge/>
            <w:shd w:val="clear" w:color="auto" w:fill="F3F3F3"/>
          </w:tcPr>
          <w:p w14:paraId="38BDC0DC"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629C835F" w14:textId="77777777" w:rsidR="00F7371C" w:rsidRPr="00E22F9F" w:rsidRDefault="00F7371C" w:rsidP="006C5700">
            <w:pPr>
              <w:spacing w:beforeLines="60" w:before="144" w:afterLines="60" w:after="144" w:line="240" w:lineRule="auto"/>
              <w:rPr>
                <w:rFonts w:ascii="Times New Roman" w:eastAsia="Times New Roman" w:hAnsi="Times New Roman" w:cs="Times New Roman"/>
                <w:sz w:val="20"/>
                <w:szCs w:val="20"/>
              </w:rPr>
            </w:pPr>
            <w:r w:rsidRPr="00E22F9F">
              <w:rPr>
                <w:rFonts w:ascii="Times New Roman" w:eastAsia="Times New Roman" w:hAnsi="Times New Roman" w:cs="Times New Roman"/>
                <w:sz w:val="20"/>
                <w:szCs w:val="20"/>
              </w:rPr>
              <w:t>Cechy zabudowy i zagospodarowania terenu:</w:t>
            </w:r>
          </w:p>
        </w:tc>
      </w:tr>
      <w:tr w:rsidR="00F7371C" w:rsidRPr="00DD7B98" w14:paraId="6C31EC7E" w14:textId="77777777" w:rsidTr="00B16B69">
        <w:trPr>
          <w:trHeight w:val="181"/>
        </w:trPr>
        <w:tc>
          <w:tcPr>
            <w:tcW w:w="2810" w:type="dxa"/>
            <w:vMerge/>
            <w:shd w:val="clear" w:color="auto" w:fill="F3F3F3"/>
          </w:tcPr>
          <w:p w14:paraId="350D8AF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399457A"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gabaryty</w:t>
            </w:r>
          </w:p>
        </w:tc>
        <w:tc>
          <w:tcPr>
            <w:tcW w:w="3419" w:type="dxa"/>
          </w:tcPr>
          <w:p w14:paraId="18261E2A" w14:textId="77777777" w:rsidR="006262AE" w:rsidRDefault="006262AE" w:rsidP="006262A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Wielkość powierzchni zabudowy do powierzchni terenu objętego wnioskiem  ustalono do 35%.</w:t>
            </w:r>
          </w:p>
          <w:p w14:paraId="1E9EBAE7" w14:textId="77777777" w:rsidR="006262AE" w:rsidRPr="007F4B82" w:rsidRDefault="006262AE" w:rsidP="006262A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Wielość powierzchni zabudowanej i utwardzonej </w:t>
            </w:r>
            <w:r w:rsidRPr="007F4B82">
              <w:rPr>
                <w:rFonts w:ascii="Times New Roman" w:eastAsia="Times New Roman" w:hAnsi="Times New Roman" w:cs="Times New Roman"/>
                <w:sz w:val="20"/>
                <w:szCs w:val="20"/>
                <w:lang w:eastAsia="pl-PL"/>
              </w:rPr>
              <w:t>ustalono na max 60%.</w:t>
            </w:r>
          </w:p>
          <w:p w14:paraId="012A8C88" w14:textId="116EF484" w:rsidR="006262AE" w:rsidRPr="007F4B82" w:rsidRDefault="006262AE" w:rsidP="006262AE">
            <w:pPr>
              <w:spacing w:before="144" w:after="144"/>
              <w:rPr>
                <w:rFonts w:ascii="Times New Roman" w:eastAsia="Times New Roman" w:hAnsi="Times New Roman" w:cs="Times New Roman"/>
                <w:sz w:val="20"/>
                <w:szCs w:val="20"/>
                <w:lang w:eastAsia="pl-PL"/>
              </w:rPr>
            </w:pPr>
            <w:r w:rsidRPr="007F4B82">
              <w:rPr>
                <w:rFonts w:ascii="Times New Roman" w:eastAsia="Times New Roman" w:hAnsi="Times New Roman" w:cs="Times New Roman"/>
                <w:sz w:val="20"/>
                <w:szCs w:val="20"/>
                <w:lang w:eastAsia="pl-PL"/>
              </w:rPr>
              <w:lastRenderedPageBreak/>
              <w:t>Maksymalną wysokość górnej krawędzi elewacji frontowej budynków liczoną od średniego poziomu terenu w obrysie rzutu do górnej krawędzi gzymsu lub dolnej krawędzi połaci dachowej ustala się do 7,5 m; w</w:t>
            </w:r>
            <w:r w:rsidR="007F4B82" w:rsidRPr="007F4B82">
              <w:rPr>
                <w:rFonts w:ascii="Times New Roman" w:eastAsia="Times New Roman" w:hAnsi="Times New Roman" w:cs="Times New Roman"/>
                <w:sz w:val="20"/>
                <w:szCs w:val="20"/>
                <w:lang w:eastAsia="pl-PL"/>
              </w:rPr>
              <w:t xml:space="preserve"> wysokość elewacji nie wlicza się zbieżnych zwieńczeń  ścian szczytowych oraz ścian lukarn i facjatek.</w:t>
            </w:r>
          </w:p>
          <w:p w14:paraId="6CE6A238" w14:textId="255B0564" w:rsidR="007F4B82" w:rsidRDefault="000A4E87" w:rsidP="006262AE">
            <w:pPr>
              <w:spacing w:before="144" w:after="144"/>
              <w:rPr>
                <w:rFonts w:ascii="Times New Roman" w:eastAsia="Times New Roman" w:hAnsi="Times New Roman" w:cs="Times New Roman"/>
                <w:sz w:val="20"/>
                <w:szCs w:val="20"/>
                <w:lang w:eastAsia="pl-PL"/>
              </w:rPr>
            </w:pPr>
            <w:r w:rsidRPr="007F4B82">
              <w:rPr>
                <w:rFonts w:ascii="Times New Roman" w:eastAsia="Times New Roman" w:hAnsi="Times New Roman" w:cs="Times New Roman"/>
                <w:sz w:val="20"/>
                <w:szCs w:val="20"/>
                <w:lang w:eastAsia="pl-PL"/>
              </w:rPr>
              <w:t>Maksymalna s</w:t>
            </w:r>
            <w:r w:rsidR="00034D4E" w:rsidRPr="007F4B82">
              <w:rPr>
                <w:rFonts w:ascii="Times New Roman" w:eastAsia="Times New Roman" w:hAnsi="Times New Roman" w:cs="Times New Roman"/>
                <w:sz w:val="20"/>
                <w:szCs w:val="20"/>
                <w:lang w:eastAsia="pl-PL"/>
              </w:rPr>
              <w:t xml:space="preserve">zerokość elewacji frontowej </w:t>
            </w:r>
            <w:r w:rsidR="007F4B82">
              <w:rPr>
                <w:rFonts w:ascii="Times New Roman" w:eastAsia="Times New Roman" w:hAnsi="Times New Roman" w:cs="Times New Roman"/>
                <w:sz w:val="20"/>
                <w:szCs w:val="20"/>
                <w:lang w:eastAsia="pl-PL"/>
              </w:rPr>
              <w:t>projektowanych budynków w zabudowie bliźniaczej ustala się na 12,0 m z tolerancją do 20%; maksymalną szerokość elewacji frontowej projektowanych budynków mieszkalnych jednorodzinnych ustala się na 12,0 m z tolerancją do 20%; za elewację frontową przyjmuje się płaszczyznę budynku zwróconą do drogi stanowiącej obsługę komunikacyjną – dojście lub dojazd do budynku.</w:t>
            </w:r>
          </w:p>
          <w:p w14:paraId="6BDB2845" w14:textId="77777777" w:rsidR="007F4B82" w:rsidRDefault="007F4B82" w:rsidP="007F4B82">
            <w:pPr>
              <w:spacing w:beforeLines="60" w:before="144" w:afterLines="60" w:after="144" w:line="240" w:lineRule="auto"/>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Maksymalną wysokość budynków  mierzoną od poziomu terenu przy głównym wejściu do budynku  do linii kalenicy lub najwyższego punktu pokrycia dachowego  ustala się do 9,0 m.</w:t>
            </w:r>
          </w:p>
          <w:p w14:paraId="0A0B3D0E" w14:textId="51A4C412" w:rsidR="00F7371C" w:rsidRPr="00DD7B98" w:rsidRDefault="007F4B82" w:rsidP="007F4B82">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liczbę kondygnacji nadziemnych budynków ustala się na 2.</w:t>
            </w:r>
          </w:p>
        </w:tc>
      </w:tr>
      <w:tr w:rsidR="00F7371C" w:rsidRPr="00DD7B98" w14:paraId="552B5780" w14:textId="77777777" w:rsidTr="00B16B69">
        <w:trPr>
          <w:trHeight w:val="181"/>
        </w:trPr>
        <w:tc>
          <w:tcPr>
            <w:tcW w:w="2810" w:type="dxa"/>
            <w:vMerge/>
            <w:shd w:val="clear" w:color="auto" w:fill="F3F3F3"/>
          </w:tcPr>
          <w:p w14:paraId="524A96A2"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2819E3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forma architektoniczna</w:t>
            </w:r>
          </w:p>
        </w:tc>
        <w:tc>
          <w:tcPr>
            <w:tcW w:w="3419" w:type="dxa"/>
          </w:tcPr>
          <w:p w14:paraId="11A07EC0" w14:textId="6A637B63" w:rsidR="00F7371C" w:rsidRPr="00DD7B98" w:rsidRDefault="00164E2D"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Budynki mieszkalne jednorodzinne w zabudowie</w:t>
            </w:r>
            <w:r w:rsidR="00756A9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bliźniaczej (</w:t>
            </w:r>
            <w:r w:rsidR="00756A96">
              <w:rPr>
                <w:rFonts w:ascii="Times New Roman" w:eastAsia="Times New Roman" w:hAnsi="Times New Roman" w:cs="Times New Roman"/>
                <w:sz w:val="20"/>
                <w:szCs w:val="20"/>
                <w:lang w:eastAsia="pl-PL"/>
              </w:rPr>
              <w:t>osiem</w:t>
            </w:r>
            <w:r w:rsidR="004F572F">
              <w:rPr>
                <w:rFonts w:ascii="Times New Roman" w:eastAsia="Times New Roman" w:hAnsi="Times New Roman" w:cs="Times New Roman"/>
                <w:sz w:val="20"/>
                <w:szCs w:val="20"/>
                <w:lang w:eastAsia="pl-PL"/>
              </w:rPr>
              <w:t>naście</w:t>
            </w:r>
            <w:r w:rsidR="00756A96">
              <w:rPr>
                <w:rFonts w:ascii="Times New Roman" w:eastAsia="Times New Roman" w:hAnsi="Times New Roman" w:cs="Times New Roman"/>
                <w:sz w:val="20"/>
                <w:szCs w:val="20"/>
                <w:lang w:eastAsia="pl-PL"/>
              </w:rPr>
              <w:t xml:space="preserve"> budynków</w:t>
            </w:r>
            <w:r>
              <w:rPr>
                <w:rFonts w:ascii="Times New Roman" w:eastAsia="Times New Roman" w:hAnsi="Times New Roman" w:cs="Times New Roman"/>
                <w:sz w:val="20"/>
                <w:szCs w:val="20"/>
                <w:lang w:eastAsia="pl-PL"/>
              </w:rPr>
              <w:t>)</w:t>
            </w:r>
            <w:r w:rsidR="004F572F">
              <w:rPr>
                <w:rFonts w:ascii="Times New Roman" w:eastAsia="Times New Roman" w:hAnsi="Times New Roman" w:cs="Times New Roman"/>
                <w:sz w:val="20"/>
                <w:szCs w:val="20"/>
                <w:lang w:eastAsia="pl-PL"/>
              </w:rPr>
              <w:t xml:space="preserve"> oraz budynki mieszkalne jednorodzinne wolnostojące (dwa budynki)</w:t>
            </w:r>
            <w:r>
              <w:rPr>
                <w:rFonts w:ascii="Times New Roman" w:eastAsia="Times New Roman" w:hAnsi="Times New Roman" w:cs="Times New Roman"/>
                <w:sz w:val="20"/>
                <w:szCs w:val="20"/>
                <w:lang w:eastAsia="pl-PL"/>
              </w:rPr>
              <w:t>.</w:t>
            </w:r>
          </w:p>
        </w:tc>
      </w:tr>
      <w:tr w:rsidR="00F7371C" w:rsidRPr="00DD7B98" w14:paraId="66E6B67A" w14:textId="77777777" w:rsidTr="00B16B69">
        <w:trPr>
          <w:trHeight w:val="181"/>
        </w:trPr>
        <w:tc>
          <w:tcPr>
            <w:tcW w:w="2810" w:type="dxa"/>
            <w:vMerge/>
            <w:shd w:val="clear" w:color="auto" w:fill="F3F3F3"/>
          </w:tcPr>
          <w:p w14:paraId="7AC8BBD6"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1DB07F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usytuowanie linii zabudowy</w:t>
            </w:r>
          </w:p>
        </w:tc>
        <w:tc>
          <w:tcPr>
            <w:tcW w:w="3419" w:type="dxa"/>
          </w:tcPr>
          <w:p w14:paraId="4ACE4981" w14:textId="20B5BB38" w:rsidR="00F7371C" w:rsidRPr="00DD7B98" w:rsidRDefault="005A0F94"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Projektowane budynki i ich usytuowanie względem granic działki i od zabudowy na sąsiednich działkach budowlanych, a także od sieci </w:t>
            </w:r>
            <w:r w:rsidR="00471C72">
              <w:rPr>
                <w:rFonts w:ascii="Times New Roman" w:eastAsia="Times New Roman" w:hAnsi="Times New Roman" w:cs="Times New Roman"/>
                <w:sz w:val="20"/>
                <w:szCs w:val="20"/>
              </w:rPr>
              <w:t>i urządzeń infrastruktury technicznej  musi spełniać warunki określone w przepisach odrębnych (w tym w szczególności §12, §13 i §271 rozporządzenia ministra infrastruktury  z dnia 12 kwietnia 2002 r. w sprawie warunków technicznych jakim powinny odpowiadać  budynki i ich usytowane.</w:t>
            </w:r>
          </w:p>
        </w:tc>
      </w:tr>
      <w:tr w:rsidR="00F7371C" w:rsidRPr="00DD7B98" w14:paraId="0F3DBF8E" w14:textId="77777777" w:rsidTr="00B16B69">
        <w:trPr>
          <w:trHeight w:val="181"/>
        </w:trPr>
        <w:tc>
          <w:tcPr>
            <w:tcW w:w="2810" w:type="dxa"/>
            <w:vMerge/>
            <w:shd w:val="clear" w:color="auto" w:fill="F3F3F3"/>
          </w:tcPr>
          <w:p w14:paraId="3BF34448"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8F4F73"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intensywność wykorzystania terenu</w:t>
            </w:r>
          </w:p>
        </w:tc>
        <w:tc>
          <w:tcPr>
            <w:tcW w:w="3419" w:type="dxa"/>
          </w:tcPr>
          <w:p w14:paraId="5BDD78BF" w14:textId="492F10D4" w:rsidR="00F7371C"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określenia intensywności zabudowy.</w:t>
            </w:r>
          </w:p>
          <w:p w14:paraId="023ED432" w14:textId="77777777" w:rsidR="004F572F"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Wielkość powierzchni zabudowy do powierzchni terenu objętego wnioskiem  ustalono do 35%.</w:t>
            </w:r>
          </w:p>
          <w:p w14:paraId="5AE7F20D" w14:textId="67C877D3" w:rsidR="004F572F" w:rsidRPr="00DD7B98"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Wielość powierzchni zabudowanej i utwardzonej ustalono na max 60%.</w:t>
            </w:r>
          </w:p>
        </w:tc>
      </w:tr>
      <w:tr w:rsidR="00F7371C" w:rsidRPr="00DD7B98" w14:paraId="1B8F3E8B" w14:textId="77777777" w:rsidTr="00B16B69">
        <w:trPr>
          <w:trHeight w:val="181"/>
        </w:trPr>
        <w:tc>
          <w:tcPr>
            <w:tcW w:w="2810" w:type="dxa"/>
            <w:vMerge/>
            <w:shd w:val="clear" w:color="auto" w:fill="F3F3F3"/>
          </w:tcPr>
          <w:p w14:paraId="4EEA747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382D6D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32F04B65" w14:textId="77777777" w:rsidR="00010B78" w:rsidRPr="008D7093"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Ustalenia wynikające z potrzeb ochrony </w:t>
            </w:r>
            <w:r w:rsidRPr="008D7093">
              <w:rPr>
                <w:rFonts w:ascii="Times New Roman" w:eastAsia="Times New Roman" w:hAnsi="Times New Roman" w:cs="Times New Roman"/>
                <w:sz w:val="20"/>
                <w:szCs w:val="20"/>
              </w:rPr>
              <w:t>środowiska zgodnie z ustawą z dnia 27 kwietnia 2001 r.  Prawo ochrony środowiska.</w:t>
            </w:r>
          </w:p>
          <w:p w14:paraId="47893B75" w14:textId="77777777" w:rsidR="00010B78" w:rsidRDefault="00010B78" w:rsidP="00010B78">
            <w:pPr>
              <w:pStyle w:val="Standard"/>
              <w:widowControl w:val="0"/>
              <w:spacing w:before="144" w:after="144"/>
              <w:rPr>
                <w:rFonts w:ascii="Times New Roman" w:eastAsia="Times New Roman" w:hAnsi="Times New Roman" w:cs="Times New Roman"/>
                <w:sz w:val="20"/>
                <w:szCs w:val="20"/>
              </w:rPr>
            </w:pPr>
            <w:r w:rsidRPr="008D7093">
              <w:rPr>
                <w:rFonts w:ascii="Times New Roman" w:eastAsia="Times New Roman" w:hAnsi="Times New Roman" w:cs="Times New Roman"/>
                <w:sz w:val="20"/>
                <w:szCs w:val="20"/>
              </w:rPr>
              <w:t>Inwestycja nie jest zaliczana do przedsięwzięć wymagających przeprowadzenia postępowania w sprawie oceny oddziaływania</w:t>
            </w:r>
            <w:r>
              <w:rPr>
                <w:rFonts w:ascii="Times New Roman" w:eastAsia="Times New Roman" w:hAnsi="Times New Roman" w:cs="Times New Roman"/>
                <w:sz w:val="20"/>
                <w:szCs w:val="20"/>
              </w:rPr>
              <w:t xml:space="preserve"> na środowisko  w rozumieniu przepisów o ochronie środowiska.</w:t>
            </w:r>
          </w:p>
          <w:p w14:paraId="76BAC234" w14:textId="099EA797"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przyrody – nie dotyczy.</w:t>
            </w:r>
          </w:p>
          <w:p w14:paraId="74C5219C" w14:textId="48B679EF" w:rsidR="00010B78" w:rsidRDefault="008D7093"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Zachowanie cennego zadrzewienia dębowego rosnącego na granicach nieruchomości na odcinku D-E oraz A-F zgodnie z częścią graficzną decyzji.</w:t>
            </w:r>
          </w:p>
          <w:p w14:paraId="6A324A57" w14:textId="46CB67CA"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sprawie ewentualnej wycinki drzew należy postępować zgodnie z ustaleniami </w:t>
            </w:r>
            <w:r w:rsidR="00835C90">
              <w:rPr>
                <w:rFonts w:ascii="Times New Roman" w:eastAsia="Times New Roman" w:hAnsi="Times New Roman" w:cs="Times New Roman"/>
                <w:sz w:val="20"/>
                <w:szCs w:val="20"/>
              </w:rPr>
              <w:t xml:space="preserve"> zawartymi w Rozdziale 4 ustawy o ochronie przyrody.</w:t>
            </w:r>
          </w:p>
          <w:p w14:paraId="488AC6DF" w14:textId="51786527" w:rsidR="008D7093" w:rsidRDefault="008D7093"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Przy wykonywaniu planowanej inwestycji należy przestrzegać  zapisów ustawy Prawo Wodne.</w:t>
            </w:r>
          </w:p>
          <w:p w14:paraId="1D77E4BF" w14:textId="53857C0B"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Inwestycję należy projektować w sposób zapewniający harmonijne wkomponowanie w otoczenie i dostosowanie do charakteru istniejącej w otoczeniu zabudowy.</w:t>
            </w:r>
          </w:p>
        </w:tc>
      </w:tr>
      <w:tr w:rsidR="00F7371C" w:rsidRPr="00DD7B98" w14:paraId="697FCCB9" w14:textId="77777777" w:rsidTr="00B16B69">
        <w:trPr>
          <w:trHeight w:val="181"/>
        </w:trPr>
        <w:tc>
          <w:tcPr>
            <w:tcW w:w="2810" w:type="dxa"/>
            <w:vMerge/>
            <w:shd w:val="clear" w:color="auto" w:fill="F3F3F3"/>
          </w:tcPr>
          <w:p w14:paraId="615F151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7B8EED8" w14:textId="3A7FD6BC"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2CAFA5FE" w14:textId="0B44B423" w:rsidR="00F7371C" w:rsidRPr="00DD7B98" w:rsidRDefault="00835C90"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645D5586" w14:textId="77777777" w:rsidTr="00B16B69">
        <w:trPr>
          <w:trHeight w:val="181"/>
        </w:trPr>
        <w:tc>
          <w:tcPr>
            <w:tcW w:w="2810" w:type="dxa"/>
            <w:vMerge/>
            <w:shd w:val="clear" w:color="auto" w:fill="F3F3F3"/>
          </w:tcPr>
          <w:p w14:paraId="66DDD20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6CF94A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4486043C" w14:textId="508A3633"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zabytków  i opiece nad zabytkami – nie dotyczy.</w:t>
            </w:r>
          </w:p>
        </w:tc>
      </w:tr>
      <w:tr w:rsidR="00F7371C" w:rsidRPr="00DD7B98" w14:paraId="12BF906E" w14:textId="77777777" w:rsidTr="00B16B69">
        <w:trPr>
          <w:trHeight w:val="181"/>
        </w:trPr>
        <w:tc>
          <w:tcPr>
            <w:tcW w:w="2810" w:type="dxa"/>
            <w:vMerge/>
            <w:shd w:val="clear" w:color="auto" w:fill="F3F3F3"/>
          </w:tcPr>
          <w:p w14:paraId="6BA6ECD0"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DD7E06B" w14:textId="77777777" w:rsidR="00F7371C" w:rsidRPr="005A0F94" w:rsidRDefault="00F7371C"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5DC9689F" w14:textId="657471B8" w:rsidR="00F7371C" w:rsidRPr="005A0F94" w:rsidRDefault="00835C90"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rPr>
              <w:t>Nie dotyczy.</w:t>
            </w:r>
          </w:p>
        </w:tc>
      </w:tr>
      <w:tr w:rsidR="00F7371C" w:rsidRPr="00DD7B98" w14:paraId="2C217587" w14:textId="77777777" w:rsidTr="00B16B69">
        <w:trPr>
          <w:trHeight w:val="181"/>
        </w:trPr>
        <w:tc>
          <w:tcPr>
            <w:tcW w:w="2810" w:type="dxa"/>
            <w:vMerge/>
            <w:shd w:val="clear" w:color="auto" w:fill="F3F3F3"/>
          </w:tcPr>
          <w:p w14:paraId="5A14785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E58A9A5" w14:textId="09FDBB99" w:rsidR="00F7371C" w:rsidRPr="005A0F94" w:rsidRDefault="00F7371C"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warunki i szczegółowe zasady obsługi w</w:t>
            </w:r>
            <w:r w:rsidR="00273AB4" w:rsidRPr="005A0F94">
              <w:rPr>
                <w:rFonts w:ascii="Times New Roman" w:eastAsia="Times New Roman" w:hAnsi="Times New Roman" w:cs="Times New Roman"/>
                <w:sz w:val="20"/>
                <w:szCs w:val="20"/>
                <w:lang w:eastAsia="pl-PL"/>
              </w:rPr>
              <w:t> </w:t>
            </w:r>
            <w:r w:rsidRPr="005A0F94">
              <w:rPr>
                <w:rFonts w:ascii="Times New Roman" w:eastAsia="Times New Roman" w:hAnsi="Times New Roman" w:cs="Times New Roman"/>
                <w:sz w:val="20"/>
                <w:szCs w:val="20"/>
                <w:lang w:eastAsia="pl-PL"/>
              </w:rPr>
              <w:t>zakresie komunikacji</w:t>
            </w:r>
          </w:p>
        </w:tc>
        <w:tc>
          <w:tcPr>
            <w:tcW w:w="3419" w:type="dxa"/>
          </w:tcPr>
          <w:p w14:paraId="0A710034" w14:textId="10AD1EA9" w:rsidR="00F7371C" w:rsidRPr="005A0F94" w:rsidRDefault="00835C90"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 xml:space="preserve">Obsługa komunikacyjna – do gminnej  </w:t>
            </w:r>
            <w:r w:rsidR="006F0CF8" w:rsidRPr="005A0F94">
              <w:rPr>
                <w:rFonts w:ascii="Times New Roman" w:eastAsia="Times New Roman" w:hAnsi="Times New Roman" w:cs="Times New Roman"/>
                <w:sz w:val="20"/>
                <w:szCs w:val="20"/>
                <w:lang w:eastAsia="pl-PL"/>
              </w:rPr>
              <w:t xml:space="preserve">drogi publicznej  nr 150974W (dz. nr ewid.  </w:t>
            </w:r>
            <w:r w:rsidR="005A0F94" w:rsidRPr="005A0F94">
              <w:rPr>
                <w:rFonts w:ascii="Times New Roman" w:eastAsia="Times New Roman" w:hAnsi="Times New Roman" w:cs="Times New Roman"/>
                <w:sz w:val="20"/>
                <w:szCs w:val="20"/>
                <w:lang w:eastAsia="pl-PL"/>
              </w:rPr>
              <w:t>1/1</w:t>
            </w:r>
            <w:r w:rsidR="006F0CF8" w:rsidRPr="005A0F94">
              <w:rPr>
                <w:rFonts w:ascii="Times New Roman" w:eastAsia="Times New Roman" w:hAnsi="Times New Roman" w:cs="Times New Roman"/>
                <w:sz w:val="20"/>
                <w:szCs w:val="20"/>
                <w:lang w:eastAsia="pl-PL"/>
              </w:rPr>
              <w:t xml:space="preserve">) </w:t>
            </w:r>
            <w:r w:rsidR="005A0F94" w:rsidRPr="005A0F94">
              <w:rPr>
                <w:rFonts w:ascii="Times New Roman" w:eastAsia="Times New Roman" w:hAnsi="Times New Roman" w:cs="Times New Roman"/>
                <w:sz w:val="20"/>
                <w:szCs w:val="20"/>
                <w:lang w:eastAsia="pl-PL"/>
              </w:rPr>
              <w:t>poprzez projektowany jeden zjazd zwykły.</w:t>
            </w:r>
          </w:p>
        </w:tc>
      </w:tr>
      <w:tr w:rsidR="00F7371C" w:rsidRPr="00DD7B98" w14:paraId="5E2105E6" w14:textId="77777777" w:rsidTr="00B16B69">
        <w:trPr>
          <w:trHeight w:val="181"/>
        </w:trPr>
        <w:tc>
          <w:tcPr>
            <w:tcW w:w="2810" w:type="dxa"/>
            <w:vMerge/>
            <w:shd w:val="clear" w:color="auto" w:fill="F3F3F3"/>
          </w:tcPr>
          <w:p w14:paraId="1AA67D1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0195B96" w14:textId="6F5BB612"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zakresie infrastruktury technicznej</w:t>
            </w:r>
          </w:p>
        </w:tc>
        <w:tc>
          <w:tcPr>
            <w:tcW w:w="3419" w:type="dxa"/>
          </w:tcPr>
          <w:p w14:paraId="1A672C19" w14:textId="575BB9CA"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energię elektryczną – </w:t>
            </w:r>
            <w:r w:rsidR="006F0CF8">
              <w:rPr>
                <w:rFonts w:ascii="Times New Roman" w:eastAsia="Times New Roman" w:hAnsi="Times New Roman" w:cs="Times New Roman"/>
                <w:sz w:val="20"/>
                <w:szCs w:val="20"/>
              </w:rPr>
              <w:t>projektowane przyłącze do linii elektroenergetycznej.</w:t>
            </w:r>
          </w:p>
          <w:p w14:paraId="03136F03" w14:textId="5C74C8D6"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gaz  – </w:t>
            </w:r>
            <w:r w:rsidR="008D7093">
              <w:rPr>
                <w:rFonts w:ascii="Times New Roman" w:eastAsia="Times New Roman" w:hAnsi="Times New Roman" w:cs="Times New Roman"/>
                <w:sz w:val="20"/>
                <w:szCs w:val="20"/>
              </w:rPr>
              <w:t>z istniejącego przyłącza do gminnej sieci gazowej</w:t>
            </w:r>
            <w:r w:rsidR="006F0CF8">
              <w:rPr>
                <w:rFonts w:ascii="Times New Roman" w:eastAsia="Times New Roman" w:hAnsi="Times New Roman" w:cs="Times New Roman"/>
                <w:sz w:val="20"/>
                <w:szCs w:val="20"/>
              </w:rPr>
              <w:t>.</w:t>
            </w:r>
          </w:p>
          <w:p w14:paraId="6B2CD362" w14:textId="6E39718A" w:rsidR="006F0CF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Ogrzewanie należy projektować z zastosowaniem urządzeń o możliwie najniższej emisji substancji o negatywnym wpływie na środowisko takich jak: opalanych gazem, lekkimi olejami lub zasilanych energią elektryczną  oraz w oparciu o inne ekologiczne czynniki grzewcze typu pellet</w:t>
            </w:r>
            <w:r w:rsidR="006F0CF8">
              <w:rPr>
                <w:rFonts w:ascii="Times New Roman" w:eastAsia="Times New Roman" w:hAnsi="Times New Roman" w:cs="Times New Roman"/>
                <w:sz w:val="20"/>
                <w:szCs w:val="20"/>
              </w:rPr>
              <w:t>.</w:t>
            </w:r>
          </w:p>
          <w:p w14:paraId="760D697F" w14:textId="1B9F330B"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wodę – </w:t>
            </w:r>
            <w:r w:rsidR="008D7093">
              <w:rPr>
                <w:rFonts w:ascii="Times New Roman" w:eastAsia="Times New Roman" w:hAnsi="Times New Roman" w:cs="Times New Roman"/>
                <w:sz w:val="20"/>
                <w:szCs w:val="20"/>
              </w:rPr>
              <w:t xml:space="preserve">z projektowanego przyłącza do </w:t>
            </w:r>
            <w:r w:rsidR="006F0CF8">
              <w:rPr>
                <w:rFonts w:ascii="Times New Roman" w:eastAsia="Times New Roman" w:hAnsi="Times New Roman" w:cs="Times New Roman"/>
                <w:sz w:val="20"/>
                <w:szCs w:val="20"/>
              </w:rPr>
              <w:t xml:space="preserve"> sieci wodociągowej.</w:t>
            </w:r>
          </w:p>
          <w:p w14:paraId="7B95149C" w14:textId="2132E1BC"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Odprowadzanie ścieków – </w:t>
            </w:r>
            <w:r w:rsidR="005A0F94">
              <w:rPr>
                <w:rFonts w:ascii="Times New Roman" w:eastAsia="Times New Roman" w:hAnsi="Times New Roman" w:cs="Times New Roman"/>
                <w:sz w:val="20"/>
                <w:szCs w:val="20"/>
              </w:rPr>
              <w:t>poprzez istniejące przyłącze  do sieci kanalizacyjnej w ramach służebności sieci.</w:t>
            </w:r>
            <w:r w:rsidR="006F0CF8">
              <w:rPr>
                <w:rFonts w:ascii="Times New Roman" w:eastAsia="Times New Roman" w:hAnsi="Times New Roman" w:cs="Times New Roman"/>
                <w:sz w:val="20"/>
                <w:szCs w:val="20"/>
              </w:rPr>
              <w:t>.</w:t>
            </w:r>
          </w:p>
          <w:p w14:paraId="21449F08" w14:textId="738CEA20"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Odprowadzanie wód  opadowych i roztopowych: wody opadowe z połaci dachowych oraz z powierzchni utwardzonych należy zagospodarować zgodnie z przepisami szczególnymi, a w szczególności z ustawą Prawo Wodne.</w:t>
            </w:r>
          </w:p>
          <w:p w14:paraId="67DB2B82" w14:textId="6095C135" w:rsidR="00F7371C" w:rsidRPr="00DD7B98" w:rsidRDefault="00835C90" w:rsidP="00835C9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Odpady należy gromadzić w miejscu lub pomieszczeniu do tego celu przeznaczonym i wydzielonym zgodnie z przepisami rozporządzenia Ministra Infrastruktury z dnia 12 kwietnia 2002 r. w sprawie warunków technicznych jakim powinny odpowiadać budynki i ich usytuowanie w pojemnikach, kontenerach lub workach foliowych; odpady muszą być regularnie wywożone przez zakłady usług porządkowych, posiadające zezwolenie na prowadzenie tych usług.</w:t>
            </w:r>
          </w:p>
        </w:tc>
      </w:tr>
      <w:tr w:rsidR="00F7371C" w:rsidRPr="00DD7B98" w14:paraId="5FD7A64D" w14:textId="77777777" w:rsidTr="00B16B69">
        <w:trPr>
          <w:trHeight w:val="181"/>
        </w:trPr>
        <w:tc>
          <w:tcPr>
            <w:tcW w:w="2810" w:type="dxa"/>
            <w:vMerge/>
            <w:shd w:val="clear" w:color="auto" w:fill="F3F3F3"/>
          </w:tcPr>
          <w:p w14:paraId="33EC30B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71555AA" w14:textId="1E4460A3"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hAnsi="Times New Roman" w:cs="Times New Roman"/>
                <w:sz w:val="20"/>
                <w:szCs w:val="20"/>
              </w:rPr>
              <w:t>minimalny udział procentowy po</w:t>
            </w:r>
            <w:r w:rsidR="00407983">
              <w:rPr>
                <w:rFonts w:ascii="Times New Roman" w:hAnsi="Times New Roman" w:cs="Times New Roman"/>
                <w:sz w:val="20"/>
                <w:szCs w:val="20"/>
              </w:rPr>
              <w:t>wierzchni biologicznie czynnej</w:t>
            </w:r>
          </w:p>
        </w:tc>
        <w:tc>
          <w:tcPr>
            <w:tcW w:w="3419" w:type="dxa"/>
          </w:tcPr>
          <w:p w14:paraId="5884204A" w14:textId="3E53B17A" w:rsidR="00F7371C" w:rsidRPr="006262AE" w:rsidRDefault="001C4BAC" w:rsidP="006C5700">
            <w:pPr>
              <w:spacing w:beforeLines="60" w:before="144" w:afterLines="60" w:after="144" w:line="240" w:lineRule="auto"/>
              <w:rPr>
                <w:rFonts w:ascii="Times New Roman" w:eastAsia="Times New Roman" w:hAnsi="Times New Roman" w:cs="Times New Roman"/>
                <w:sz w:val="20"/>
                <w:szCs w:val="20"/>
              </w:rPr>
            </w:pPr>
            <w:r w:rsidRPr="006262AE">
              <w:rPr>
                <w:rFonts w:ascii="Times New Roman" w:eastAsia="Times New Roman" w:hAnsi="Times New Roman" w:cs="Times New Roman"/>
                <w:sz w:val="20"/>
                <w:szCs w:val="20"/>
              </w:rPr>
              <w:t>Wielkość  powierzchni biologicznie czynnej ustalono na min. 40% powierzchni terenu objętego wnioskiem.</w:t>
            </w:r>
          </w:p>
        </w:tc>
      </w:tr>
      <w:tr w:rsidR="00F7371C" w:rsidRPr="00DD7B98" w14:paraId="5B210EE0" w14:textId="77777777" w:rsidTr="00B16B69">
        <w:trPr>
          <w:trHeight w:val="181"/>
        </w:trPr>
        <w:tc>
          <w:tcPr>
            <w:tcW w:w="2810" w:type="dxa"/>
            <w:vMerge/>
            <w:shd w:val="clear" w:color="auto" w:fill="F3F3F3"/>
          </w:tcPr>
          <w:p w14:paraId="6F13B5A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22BE3A3"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nadziemna intensywność zabudowy</w:t>
            </w:r>
          </w:p>
        </w:tc>
        <w:tc>
          <w:tcPr>
            <w:tcW w:w="3419" w:type="dxa"/>
          </w:tcPr>
          <w:p w14:paraId="48C8D1AF" w14:textId="54511574" w:rsidR="00F7371C" w:rsidRPr="006262AE" w:rsidRDefault="006262AE" w:rsidP="009A3A15">
            <w:pPr>
              <w:spacing w:before="144" w:after="144"/>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Brak.</w:t>
            </w:r>
          </w:p>
        </w:tc>
      </w:tr>
      <w:tr w:rsidR="00F7371C" w:rsidRPr="00DD7B98" w14:paraId="7EF2A973" w14:textId="77777777" w:rsidTr="00B16B69">
        <w:trPr>
          <w:trHeight w:val="181"/>
        </w:trPr>
        <w:tc>
          <w:tcPr>
            <w:tcW w:w="2810" w:type="dxa"/>
            <w:vMerge/>
            <w:shd w:val="clear" w:color="auto" w:fill="F3F3F3"/>
          </w:tcPr>
          <w:p w14:paraId="1E447B3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437F700"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wysokość zabudowy</w:t>
            </w:r>
          </w:p>
        </w:tc>
        <w:tc>
          <w:tcPr>
            <w:tcW w:w="3419" w:type="dxa"/>
          </w:tcPr>
          <w:p w14:paraId="5F264E32" w14:textId="77777777" w:rsidR="00F7371C" w:rsidRDefault="009A3A15" w:rsidP="001C4BAC">
            <w:pPr>
              <w:spacing w:beforeLines="60" w:before="144" w:afterLines="60" w:after="144" w:line="240" w:lineRule="auto"/>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 xml:space="preserve">Maksymalną wysokość </w:t>
            </w:r>
            <w:r w:rsidR="006262AE" w:rsidRPr="006262AE">
              <w:rPr>
                <w:rFonts w:ascii="Times New Roman" w:eastAsia="Times New Roman" w:hAnsi="Times New Roman" w:cs="Times New Roman"/>
                <w:sz w:val="20"/>
                <w:szCs w:val="20"/>
                <w:lang w:eastAsia="pl-PL"/>
              </w:rPr>
              <w:t xml:space="preserve">budynków </w:t>
            </w:r>
            <w:r w:rsidRPr="006262AE">
              <w:rPr>
                <w:rFonts w:ascii="Times New Roman" w:eastAsia="Times New Roman" w:hAnsi="Times New Roman" w:cs="Times New Roman"/>
                <w:sz w:val="20"/>
                <w:szCs w:val="20"/>
                <w:lang w:eastAsia="pl-PL"/>
              </w:rPr>
              <w:t xml:space="preserve"> mierzoną od poziomu terenu przy głównym wejściu do budynku  do linii kalenicy lub najwyższego punktu </w:t>
            </w:r>
            <w:r w:rsidRPr="006262AE">
              <w:rPr>
                <w:rFonts w:ascii="Times New Roman" w:eastAsia="Times New Roman" w:hAnsi="Times New Roman" w:cs="Times New Roman"/>
                <w:sz w:val="20"/>
                <w:szCs w:val="20"/>
                <w:lang w:eastAsia="pl-PL"/>
              </w:rPr>
              <w:lastRenderedPageBreak/>
              <w:t xml:space="preserve">pokrycia dachowego  ustala się do </w:t>
            </w:r>
            <w:r w:rsidR="006262AE" w:rsidRPr="006262AE">
              <w:rPr>
                <w:rFonts w:ascii="Times New Roman" w:eastAsia="Times New Roman" w:hAnsi="Times New Roman" w:cs="Times New Roman"/>
                <w:sz w:val="20"/>
                <w:szCs w:val="20"/>
                <w:lang w:eastAsia="pl-PL"/>
              </w:rPr>
              <w:t>9</w:t>
            </w:r>
            <w:r w:rsidRPr="006262AE">
              <w:rPr>
                <w:rFonts w:ascii="Times New Roman" w:eastAsia="Times New Roman" w:hAnsi="Times New Roman" w:cs="Times New Roman"/>
                <w:sz w:val="20"/>
                <w:szCs w:val="20"/>
                <w:lang w:eastAsia="pl-PL"/>
              </w:rPr>
              <w:t>,0 m.</w:t>
            </w:r>
          </w:p>
          <w:p w14:paraId="320B84CE" w14:textId="4C834287" w:rsidR="006262AE" w:rsidRPr="005A0F94" w:rsidRDefault="006262AE" w:rsidP="001C4BAC">
            <w:pPr>
              <w:spacing w:beforeLines="60" w:before="144" w:afterLines="60" w:after="144" w:line="240" w:lineRule="auto"/>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lang w:eastAsia="pl-PL"/>
              </w:rPr>
              <w:t>Maksymalną  liczbę kondygnacji nadziemnych budynków ustala się na 2.</w:t>
            </w:r>
          </w:p>
        </w:tc>
      </w:tr>
      <w:tr w:rsidR="00DF3A2D" w:rsidRPr="00DD7B98" w14:paraId="3F89F064" w14:textId="77777777" w:rsidTr="00B16B69">
        <w:trPr>
          <w:trHeight w:val="73"/>
        </w:trPr>
        <w:tc>
          <w:tcPr>
            <w:tcW w:w="2810" w:type="dxa"/>
            <w:vMerge w:val="restart"/>
            <w:shd w:val="clear" w:color="auto" w:fill="F3F3F3"/>
          </w:tcPr>
          <w:p w14:paraId="5C19107B" w14:textId="1C9F917E"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lastRenderedPageBreak/>
              <w:t xml:space="preserve">Informacje dotyczące przewidzianych inwestycji w promieniu </w:t>
            </w:r>
            <w:smartTag w:uri="urn:schemas-microsoft-com:office:smarttags" w:element="metricconverter">
              <w:smartTagPr>
                <w:attr w:name="ProductID" w:val="1 km"/>
              </w:smartTagPr>
              <w:r w:rsidRPr="00DD7B98">
                <w:rPr>
                  <w:rFonts w:ascii="Times New Roman" w:eastAsia="Times New Roman" w:hAnsi="Times New Roman" w:cs="Times New Roman"/>
                  <w:sz w:val="20"/>
                  <w:szCs w:val="20"/>
                </w:rPr>
                <w:t>1 km</w:t>
              </w:r>
            </w:smartTag>
            <w:r w:rsidRPr="00DD7B98">
              <w:rPr>
                <w:rFonts w:ascii="Times New Roman" w:eastAsia="Times New Roman" w:hAnsi="Times New Roman" w:cs="Times New Roman"/>
                <w:sz w:val="20"/>
                <w:szCs w:val="20"/>
              </w:rPr>
              <w:t xml:space="preserve"> od </w:t>
            </w:r>
            <w:r w:rsidR="00CC5FC4" w:rsidRPr="00DD7B98">
              <w:rPr>
                <w:rFonts w:ascii="Times New Roman" w:eastAsia="Times New Roman" w:hAnsi="Times New Roman" w:cs="Times New Roman"/>
                <w:sz w:val="20"/>
                <w:szCs w:val="20"/>
              </w:rPr>
              <w:t xml:space="preserve">terenu objętego przedsięwzięciem deweloperskim lub zadaniem </w:t>
            </w:r>
            <w:r w:rsidR="009327A6" w:rsidRPr="00DD7B98">
              <w:rPr>
                <w:rFonts w:ascii="Times New Roman" w:hAnsi="Times New Roman" w:cs="Times New Roman"/>
                <w:sz w:val="20"/>
                <w:szCs w:val="20"/>
              </w:rPr>
              <w:t>inwestycyjnym</w:t>
            </w:r>
            <w:r w:rsidR="009327A6" w:rsidRPr="00DD7B98">
              <w:rPr>
                <w:rStyle w:val="IGindeksgrny"/>
                <w:rFonts w:ascii="Times New Roman" w:hAnsi="Times New Roman" w:cs="Times New Roman"/>
                <w:sz w:val="20"/>
                <w:szCs w:val="20"/>
              </w:rPr>
              <w:footnoteReference w:id="6"/>
            </w:r>
            <w:r w:rsidR="009327A6" w:rsidRPr="00DD7B98">
              <w:rPr>
                <w:rStyle w:val="IGindeksgrny"/>
                <w:rFonts w:ascii="Times New Roman" w:hAnsi="Times New Roman" w:cs="Times New Roman"/>
                <w:sz w:val="20"/>
                <w:szCs w:val="20"/>
              </w:rPr>
              <w:t>)</w:t>
            </w:r>
            <w:r w:rsidR="009327A6" w:rsidRPr="00DD7B98">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zawarte w:</w:t>
            </w:r>
          </w:p>
        </w:tc>
        <w:tc>
          <w:tcPr>
            <w:tcW w:w="3419" w:type="dxa"/>
          </w:tcPr>
          <w:p w14:paraId="489A2A21" w14:textId="77777777"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zagospodarowania przestrzennego</w:t>
            </w:r>
          </w:p>
        </w:tc>
        <w:tc>
          <w:tcPr>
            <w:tcW w:w="3419" w:type="dxa"/>
          </w:tcPr>
          <w:p w14:paraId="5D4F1FF5" w14:textId="6EF9D166" w:rsidR="00D6706C" w:rsidRPr="00411C10" w:rsidRDefault="005109F1" w:rsidP="006C5700">
            <w:pPr>
              <w:spacing w:beforeLines="60" w:before="144" w:afterLines="60" w:after="144" w:line="240" w:lineRule="auto"/>
              <w:rPr>
                <w:rFonts w:ascii="Times New Roman" w:eastAsia="Times New Roman" w:hAnsi="Times New Roman" w:cs="Times New Roman"/>
                <w:color w:val="7030A0"/>
                <w:sz w:val="20"/>
                <w:szCs w:val="20"/>
                <w:lang w:eastAsia="pl-PL"/>
              </w:rPr>
            </w:pPr>
            <w:r w:rsidRPr="00644797">
              <w:rPr>
                <w:rFonts w:ascii="Times New Roman" w:eastAsia="Times New Roman" w:hAnsi="Times New Roman" w:cs="Times New Roman"/>
                <w:color w:val="EE0000"/>
                <w:sz w:val="20"/>
                <w:szCs w:val="20"/>
                <w:lang w:eastAsia="pl-PL"/>
              </w:rPr>
              <w:t>https://voxly.pl/#organization/%2Fapi%2Forganizations%2F8f072065-8cc7-4be0-bb46-44663258fa23/extent/587749.2509942935%2C463040.2303854222%2C620741.3555558859%2C479961.5715140828/module/app</w:t>
            </w:r>
          </w:p>
        </w:tc>
      </w:tr>
      <w:tr w:rsidR="00F76BB4" w:rsidRPr="00DD7B98" w14:paraId="7876B1A0" w14:textId="77777777" w:rsidTr="00B16B69">
        <w:trPr>
          <w:trHeight w:val="71"/>
        </w:trPr>
        <w:tc>
          <w:tcPr>
            <w:tcW w:w="2810" w:type="dxa"/>
            <w:vMerge/>
            <w:shd w:val="clear" w:color="auto" w:fill="F3F3F3"/>
          </w:tcPr>
          <w:p w14:paraId="29D805D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F65F1CF" w14:textId="2F28031F" w:rsidR="00F76BB4" w:rsidRPr="00DD7B98" w:rsidRDefault="00F76BB4" w:rsidP="006C5700">
            <w:pPr>
              <w:rPr>
                <w:rFonts w:ascii="Times New Roman" w:hAnsi="Times New Roman" w:cs="Times New Roman"/>
                <w:sz w:val="20"/>
                <w:szCs w:val="20"/>
              </w:rPr>
            </w:pPr>
            <w:r w:rsidRPr="00DD7B98">
              <w:rPr>
                <w:rFonts w:ascii="Times New Roman" w:eastAsia="Times New Roman" w:hAnsi="Times New Roman" w:cs="Times New Roman"/>
                <w:sz w:val="20"/>
                <w:szCs w:val="20"/>
                <w:lang w:eastAsia="pl-PL"/>
              </w:rPr>
              <w:t>decyzjach o warunkach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w:t>
            </w:r>
          </w:p>
        </w:tc>
        <w:tc>
          <w:tcPr>
            <w:tcW w:w="3419" w:type="dxa"/>
          </w:tcPr>
          <w:p w14:paraId="64FA7C12" w14:textId="1EA52329" w:rsidR="005109F1" w:rsidRPr="005109F1" w:rsidRDefault="005109F1" w:rsidP="006C5700">
            <w:pPr>
              <w:spacing w:beforeLines="60" w:before="144" w:afterLines="60" w:after="144" w:line="240" w:lineRule="auto"/>
              <w:rPr>
                <w:rFonts w:ascii="Times New Roman" w:eastAsia="Times New Roman" w:hAnsi="Times New Roman" w:cs="Times New Roman"/>
                <w:color w:val="7030A0"/>
                <w:sz w:val="20"/>
                <w:szCs w:val="20"/>
                <w:lang w:eastAsia="pl-PL"/>
              </w:rPr>
            </w:pPr>
          </w:p>
        </w:tc>
      </w:tr>
      <w:tr w:rsidR="00F76BB4" w:rsidRPr="00DD7B98" w14:paraId="2D1A8A01" w14:textId="77777777" w:rsidTr="00B16B69">
        <w:trPr>
          <w:trHeight w:val="71"/>
        </w:trPr>
        <w:tc>
          <w:tcPr>
            <w:tcW w:w="2810" w:type="dxa"/>
            <w:vMerge/>
            <w:shd w:val="clear" w:color="auto" w:fill="F3F3F3"/>
          </w:tcPr>
          <w:p w14:paraId="7C894753"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9823343" w14:textId="7789EB82" w:rsidR="00F76BB4" w:rsidRPr="00DD7B98" w:rsidRDefault="00F76BB4" w:rsidP="006C5700">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decyzjach o środowiskowych</w:t>
            </w:r>
            <w:r w:rsidR="006C5700">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uwarunkowaniach</w:t>
            </w:r>
          </w:p>
        </w:tc>
        <w:tc>
          <w:tcPr>
            <w:tcW w:w="3419" w:type="dxa"/>
          </w:tcPr>
          <w:p w14:paraId="52F571C6" w14:textId="6B37D25F" w:rsidR="00F76BB4" w:rsidRPr="00DD7B98" w:rsidRDefault="005109F1"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color w:val="7030A0"/>
                <w:sz w:val="20"/>
                <w:szCs w:val="20"/>
                <w:lang w:eastAsia="pl-PL"/>
              </w:rPr>
              <w:t>Decyzja środowiskowa tj. dla przedsięwzięcia pn. „Zmiana sposobu użytkowania istniejących budynków gospodarczych na zakład stolarski w miejscowości Kady w gminie Grodzisk Mazowiecki, przy ulicy Starowiejskiej 12 na działce nr ew. 34/2 obręb Kady” oraz „Modernizacja infrastruktury kolejowej linii WKD poprzez budowę drugiego toru linii kolejowej nr 47 od Podkowy Leśnej do Grodziska Maz.” znak: OŚ.6220.29.2017.ŁK.23</w:t>
            </w:r>
          </w:p>
        </w:tc>
      </w:tr>
      <w:tr w:rsidR="00F76BB4" w:rsidRPr="00DD7B98" w14:paraId="4FB0F65B" w14:textId="77777777" w:rsidTr="00B16B69">
        <w:trPr>
          <w:trHeight w:val="71"/>
        </w:trPr>
        <w:tc>
          <w:tcPr>
            <w:tcW w:w="2810" w:type="dxa"/>
            <w:vMerge/>
            <w:shd w:val="clear" w:color="auto" w:fill="F3F3F3"/>
          </w:tcPr>
          <w:p w14:paraId="6E2D105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1D9D557" w14:textId="7DC95EA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uchwałach o obszarach ograniczonego użytkowania</w:t>
            </w:r>
          </w:p>
        </w:tc>
        <w:tc>
          <w:tcPr>
            <w:tcW w:w="3419" w:type="dxa"/>
          </w:tcPr>
          <w:p w14:paraId="2CDA59BA" w14:textId="1901FDAA"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769F43F8" w14:textId="77777777" w:rsidTr="00B16B69">
        <w:trPr>
          <w:trHeight w:val="71"/>
        </w:trPr>
        <w:tc>
          <w:tcPr>
            <w:tcW w:w="2810" w:type="dxa"/>
            <w:vMerge/>
            <w:shd w:val="clear" w:color="auto" w:fill="F3F3F3"/>
          </w:tcPr>
          <w:p w14:paraId="52E7ED54"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889B6A" w14:textId="04B1E1D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odbudowy</w:t>
            </w:r>
          </w:p>
        </w:tc>
        <w:tc>
          <w:tcPr>
            <w:tcW w:w="3419" w:type="dxa"/>
          </w:tcPr>
          <w:p w14:paraId="61BEFA90" w14:textId="7C6D10C3"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0BD8B140" w14:textId="77777777" w:rsidTr="00B16B69">
        <w:trPr>
          <w:trHeight w:val="71"/>
        </w:trPr>
        <w:tc>
          <w:tcPr>
            <w:tcW w:w="2810" w:type="dxa"/>
            <w:vMerge/>
            <w:shd w:val="clear" w:color="auto" w:fill="F3F3F3"/>
          </w:tcPr>
          <w:p w14:paraId="56FF833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35ACEFF" w14:textId="551869F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mapach zagrożenia powodziowego i</w:t>
            </w:r>
            <w:r w:rsidR="00273AB4">
              <w:rPr>
                <w:rFonts w:ascii="Times New Roman" w:eastAsia="Times New Roman" w:hAnsi="Times New Roman" w:cs="Times New Roman"/>
                <w:sz w:val="20"/>
                <w:szCs w:val="20"/>
              </w:rPr>
              <w:t> </w:t>
            </w:r>
            <w:r w:rsidRPr="00DD7B98">
              <w:rPr>
                <w:rFonts w:ascii="Times New Roman" w:eastAsia="Times New Roman" w:hAnsi="Times New Roman" w:cs="Times New Roman"/>
                <w:sz w:val="20"/>
                <w:szCs w:val="20"/>
              </w:rPr>
              <w:t>mapach ryzyka powodziowego</w:t>
            </w:r>
          </w:p>
        </w:tc>
        <w:tc>
          <w:tcPr>
            <w:tcW w:w="3419" w:type="dxa"/>
          </w:tcPr>
          <w:p w14:paraId="6DC3CE92" w14:textId="7F28F6E8"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B16B69" w:rsidRPr="00DD7B98" w14:paraId="45C4DD00" w14:textId="77777777" w:rsidTr="00E10302">
        <w:trPr>
          <w:trHeight w:val="761"/>
        </w:trPr>
        <w:tc>
          <w:tcPr>
            <w:tcW w:w="2810" w:type="dxa"/>
            <w:vMerge/>
            <w:shd w:val="clear" w:color="auto" w:fill="F3F3F3"/>
          </w:tcPr>
          <w:p w14:paraId="1314A19F"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718997B" w14:textId="52B9C7D1"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tc>
      </w:tr>
      <w:tr w:rsidR="00B16B69" w:rsidRPr="00DD7B98" w14:paraId="20882F84" w14:textId="5FF73817" w:rsidTr="00E10302">
        <w:trPr>
          <w:trHeight w:val="559"/>
        </w:trPr>
        <w:tc>
          <w:tcPr>
            <w:tcW w:w="2810" w:type="dxa"/>
            <w:vMerge/>
            <w:shd w:val="clear" w:color="auto" w:fill="F3F3F3"/>
          </w:tcPr>
          <w:p w14:paraId="2C5F1042"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4AF9EC3"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drogowej</w:t>
            </w:r>
          </w:p>
        </w:tc>
        <w:tc>
          <w:tcPr>
            <w:tcW w:w="3419" w:type="dxa"/>
          </w:tcPr>
          <w:p w14:paraId="46720DCC" w14:textId="4FDF4079" w:rsidR="00B16B69" w:rsidRPr="00DD7B98" w:rsidRDefault="005109F1"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7030A0"/>
                <w:sz w:val="20"/>
                <w:szCs w:val="20"/>
                <w:lang w:eastAsia="pl-PL"/>
              </w:rPr>
              <w:t>W trakcie projektowania inwestycja p.n.: „Opracowanie kompleksowych dokumentacji projektowych budowy trzech odcinków drogi gminnej (o łącznej dł. ok. 3300m) zlokalizowanych w południowej części Gminy Grodzisk Mazowiecki i łączących drogę wojewódzką DW 579 z drogą powiatową DP 1503 wraz z uzyskaniem decyzji ZRID.”</w:t>
            </w:r>
          </w:p>
        </w:tc>
      </w:tr>
      <w:tr w:rsidR="00F76BB4" w:rsidRPr="00DD7B98" w14:paraId="7CCEDD2F" w14:textId="77777777" w:rsidTr="00B16B69">
        <w:trPr>
          <w:trHeight w:val="84"/>
        </w:trPr>
        <w:tc>
          <w:tcPr>
            <w:tcW w:w="2810" w:type="dxa"/>
            <w:vMerge/>
            <w:shd w:val="clear" w:color="auto" w:fill="F3F3F3"/>
          </w:tcPr>
          <w:p w14:paraId="23939DB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116493F" w14:textId="33F529F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linii kolejowej</w:t>
            </w:r>
          </w:p>
        </w:tc>
        <w:tc>
          <w:tcPr>
            <w:tcW w:w="3419" w:type="dxa"/>
          </w:tcPr>
          <w:p w14:paraId="7F04F8EF" w14:textId="2AE0127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6BB02C34" w14:textId="77777777" w:rsidTr="00B16B69">
        <w:trPr>
          <w:trHeight w:val="81"/>
        </w:trPr>
        <w:tc>
          <w:tcPr>
            <w:tcW w:w="2810" w:type="dxa"/>
            <w:vMerge/>
            <w:shd w:val="clear" w:color="auto" w:fill="F3F3F3"/>
          </w:tcPr>
          <w:p w14:paraId="270857B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61A3398" w14:textId="3D13A5D1"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63A0A76" w14:textId="51B726DB" w:rsidR="005109F1" w:rsidRPr="005109F1" w:rsidRDefault="005109F1" w:rsidP="006C5700">
            <w:pPr>
              <w:spacing w:beforeLines="60" w:before="144" w:afterLines="60" w:after="144" w:line="240" w:lineRule="auto"/>
              <w:rPr>
                <w:rFonts w:ascii="Times New Roman" w:eastAsia="Times New Roman" w:hAnsi="Times New Roman" w:cs="Times New Roman"/>
                <w:color w:val="7030A0"/>
                <w:sz w:val="20"/>
                <w:szCs w:val="20"/>
                <w:lang w:eastAsia="pl-PL"/>
              </w:rPr>
            </w:pPr>
          </w:p>
        </w:tc>
      </w:tr>
      <w:tr w:rsidR="00F76BB4" w:rsidRPr="00DD7B98" w14:paraId="7693A6C7" w14:textId="77777777" w:rsidTr="00B16B69">
        <w:trPr>
          <w:trHeight w:val="81"/>
        </w:trPr>
        <w:tc>
          <w:tcPr>
            <w:tcW w:w="2810" w:type="dxa"/>
            <w:vMerge/>
            <w:shd w:val="clear" w:color="auto" w:fill="F3F3F3"/>
          </w:tcPr>
          <w:p w14:paraId="609CB0D6"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638FBF2" w14:textId="18D83CC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03267CF0" w14:textId="02284581"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72FE196" w14:textId="77777777" w:rsidTr="00B16B69">
        <w:trPr>
          <w:trHeight w:val="81"/>
        </w:trPr>
        <w:tc>
          <w:tcPr>
            <w:tcW w:w="2810" w:type="dxa"/>
            <w:vMerge/>
            <w:shd w:val="clear" w:color="auto" w:fill="F3F3F3"/>
          </w:tcPr>
          <w:p w14:paraId="197204D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30E09C" w14:textId="0A803BA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5C258A1A" w14:textId="5C8B00AF"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235D7A5" w14:textId="77777777" w:rsidTr="00B16B69">
        <w:trPr>
          <w:trHeight w:val="81"/>
        </w:trPr>
        <w:tc>
          <w:tcPr>
            <w:tcW w:w="2810" w:type="dxa"/>
            <w:vMerge/>
            <w:shd w:val="clear" w:color="auto" w:fill="F3F3F3"/>
          </w:tcPr>
          <w:p w14:paraId="72EDFEAC"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F4FFBC1" w14:textId="66FDC95D"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2A79EAEA" w14:textId="0A90D9CE"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4C77E56F" w14:textId="77777777" w:rsidTr="00B16B69">
        <w:trPr>
          <w:trHeight w:val="81"/>
        </w:trPr>
        <w:tc>
          <w:tcPr>
            <w:tcW w:w="2810" w:type="dxa"/>
            <w:vMerge/>
            <w:shd w:val="clear" w:color="auto" w:fill="F3F3F3"/>
          </w:tcPr>
          <w:p w14:paraId="069E971B"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D17A933" w14:textId="20B69248"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regionalnej sieci szerokopasmowej</w:t>
            </w:r>
          </w:p>
        </w:tc>
        <w:tc>
          <w:tcPr>
            <w:tcW w:w="3419" w:type="dxa"/>
          </w:tcPr>
          <w:p w14:paraId="5FC2BA74" w14:textId="4699452A"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18AC81D" w14:textId="77777777" w:rsidTr="00B16B69">
        <w:trPr>
          <w:trHeight w:val="81"/>
        </w:trPr>
        <w:tc>
          <w:tcPr>
            <w:tcW w:w="2810" w:type="dxa"/>
            <w:vMerge/>
            <w:shd w:val="clear" w:color="auto" w:fill="F3F3F3"/>
          </w:tcPr>
          <w:p w14:paraId="2EA99F61"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C540DBA" w14:textId="0EF26265"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Ce</w:t>
            </w:r>
            <w:r w:rsidR="00407983">
              <w:rPr>
                <w:rFonts w:ascii="Times New Roman" w:eastAsia="Times New Roman" w:hAnsi="Times New Roman" w:cs="Times New Roman"/>
                <w:sz w:val="20"/>
                <w:szCs w:val="20"/>
              </w:rPr>
              <w:t>ntralnego Portu Komunikacyjnego</w:t>
            </w:r>
          </w:p>
        </w:tc>
        <w:tc>
          <w:tcPr>
            <w:tcW w:w="3419" w:type="dxa"/>
          </w:tcPr>
          <w:p w14:paraId="7F9F68F7" w14:textId="7AB8323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66070E13" w14:textId="77777777" w:rsidTr="00B16B69">
        <w:trPr>
          <w:trHeight w:val="81"/>
        </w:trPr>
        <w:tc>
          <w:tcPr>
            <w:tcW w:w="2810" w:type="dxa"/>
            <w:vMerge/>
            <w:shd w:val="clear" w:color="auto" w:fill="F3F3F3"/>
          </w:tcPr>
          <w:p w14:paraId="642BC81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EA80619" w14:textId="6B021BE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infrastruktury dostępowej</w:t>
            </w:r>
          </w:p>
        </w:tc>
        <w:tc>
          <w:tcPr>
            <w:tcW w:w="3419" w:type="dxa"/>
          </w:tcPr>
          <w:p w14:paraId="0EFEF4EE" w14:textId="7650B2B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59CBD6A" w14:textId="77777777" w:rsidTr="00B16B69">
        <w:trPr>
          <w:trHeight w:val="81"/>
        </w:trPr>
        <w:tc>
          <w:tcPr>
            <w:tcW w:w="2810" w:type="dxa"/>
            <w:vMerge/>
            <w:shd w:val="clear" w:color="auto" w:fill="F3F3F3"/>
          </w:tcPr>
          <w:p w14:paraId="37B3D0E9"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862449A" w14:textId="3EED4F1F"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CEE8623" w14:textId="6F7D67A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94EE7C3" w14:textId="77777777" w:rsidTr="00B16B69">
        <w:trPr>
          <w:trHeight w:val="81"/>
        </w:trPr>
        <w:tc>
          <w:tcPr>
            <w:tcW w:w="2810" w:type="dxa"/>
            <w:vMerge/>
            <w:shd w:val="clear" w:color="auto" w:fill="F3F3F3"/>
          </w:tcPr>
          <w:p w14:paraId="091B570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8E6D1B4" w14:textId="77777777"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4A07D3A3" w14:textId="4B1F24B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B16B69" w:rsidRPr="00DD7B98" w14:paraId="173280D8" w14:textId="31012271" w:rsidTr="00B16B69">
        <w:trPr>
          <w:trHeight w:val="390"/>
        </w:trPr>
        <w:tc>
          <w:tcPr>
            <w:tcW w:w="9648" w:type="dxa"/>
            <w:gridSpan w:val="3"/>
            <w:shd w:val="clear" w:color="auto" w:fill="D9D9D9"/>
          </w:tcPr>
          <w:p w14:paraId="3DE50D0D" w14:textId="5A27CF0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b/>
                <w:sz w:val="20"/>
                <w:szCs w:val="20"/>
              </w:rPr>
              <w:t>INFORMACJE DOTYCZĄCE BUDYNKU</w:t>
            </w:r>
          </w:p>
        </w:tc>
      </w:tr>
      <w:tr w:rsidR="00F76BB4" w:rsidRPr="00DD7B98" w14:paraId="3CBB4904" w14:textId="77777777" w:rsidTr="00B16B69">
        <w:trPr>
          <w:trHeight w:val="390"/>
        </w:trPr>
        <w:tc>
          <w:tcPr>
            <w:tcW w:w="2810" w:type="dxa"/>
            <w:shd w:val="clear" w:color="auto" w:fill="F3F3F3"/>
          </w:tcPr>
          <w:p w14:paraId="07859F23" w14:textId="1A5DAA2A"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jest pozwolenie na budowę</w:t>
            </w:r>
          </w:p>
        </w:tc>
        <w:tc>
          <w:tcPr>
            <w:tcW w:w="3419" w:type="dxa"/>
            <w:vAlign w:val="center"/>
          </w:tcPr>
          <w:p w14:paraId="2C36ABD3" w14:textId="2CB6027B" w:rsidR="00F76BB4" w:rsidRPr="00BF0384"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tak*</w:t>
            </w:r>
          </w:p>
        </w:tc>
        <w:tc>
          <w:tcPr>
            <w:tcW w:w="3419" w:type="dxa"/>
            <w:vAlign w:val="center"/>
          </w:tcPr>
          <w:p w14:paraId="486A9AA3" w14:textId="12EB9C37" w:rsidR="00F76BB4" w:rsidRPr="00BF0384"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nie*</w:t>
            </w:r>
          </w:p>
        </w:tc>
      </w:tr>
      <w:tr w:rsidR="00F76BB4" w:rsidRPr="00DD7B98" w14:paraId="05BB7678" w14:textId="77777777" w:rsidTr="00B16B69">
        <w:trPr>
          <w:trHeight w:val="390"/>
        </w:trPr>
        <w:tc>
          <w:tcPr>
            <w:tcW w:w="2810" w:type="dxa"/>
            <w:shd w:val="clear" w:color="auto" w:fill="F3F3F3"/>
          </w:tcPr>
          <w:p w14:paraId="77ECE435" w14:textId="77777777"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ostateczne</w:t>
            </w:r>
          </w:p>
        </w:tc>
        <w:tc>
          <w:tcPr>
            <w:tcW w:w="3419" w:type="dxa"/>
            <w:vAlign w:val="center"/>
          </w:tcPr>
          <w:p w14:paraId="55FBC994" w14:textId="41D3FEB5" w:rsidR="00F76BB4" w:rsidRPr="00BF0384"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tak*</w:t>
            </w:r>
          </w:p>
        </w:tc>
        <w:tc>
          <w:tcPr>
            <w:tcW w:w="3419" w:type="dxa"/>
            <w:vAlign w:val="center"/>
          </w:tcPr>
          <w:p w14:paraId="37710437" w14:textId="19D71011" w:rsidR="00F76BB4" w:rsidRPr="00BF0384"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nie*</w:t>
            </w:r>
          </w:p>
        </w:tc>
      </w:tr>
      <w:tr w:rsidR="00B16B69" w:rsidRPr="00DD7B98" w14:paraId="75E32F0D" w14:textId="77777777" w:rsidTr="00B16B69">
        <w:trPr>
          <w:trHeight w:val="390"/>
        </w:trPr>
        <w:tc>
          <w:tcPr>
            <w:tcW w:w="2810" w:type="dxa"/>
            <w:shd w:val="clear" w:color="auto" w:fill="F3F3F3"/>
          </w:tcPr>
          <w:p w14:paraId="03BC8DD3" w14:textId="77777777" w:rsidR="00B16B69" w:rsidRPr="009A3A15" w:rsidRDefault="00B16B69"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zaskarżone</w:t>
            </w:r>
          </w:p>
        </w:tc>
        <w:tc>
          <w:tcPr>
            <w:tcW w:w="3419" w:type="dxa"/>
            <w:vAlign w:val="center"/>
          </w:tcPr>
          <w:p w14:paraId="73997BEA" w14:textId="1660A3AC" w:rsidR="00B16B69" w:rsidRPr="00BF0384" w:rsidRDefault="00B16B69" w:rsidP="00B16B69">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tak*</w:t>
            </w:r>
          </w:p>
        </w:tc>
        <w:tc>
          <w:tcPr>
            <w:tcW w:w="3419" w:type="dxa"/>
            <w:vAlign w:val="center"/>
          </w:tcPr>
          <w:p w14:paraId="6233BCE9" w14:textId="1473C844" w:rsidR="00B16B69" w:rsidRPr="00BF0384" w:rsidRDefault="00B16B69" w:rsidP="00B16B69">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w:t>
            </w:r>
          </w:p>
        </w:tc>
      </w:tr>
      <w:tr w:rsidR="00B16B69" w:rsidRPr="00DD7B98" w14:paraId="3057007E" w14:textId="77777777" w:rsidTr="00B16B69">
        <w:trPr>
          <w:trHeight w:val="195"/>
        </w:trPr>
        <w:tc>
          <w:tcPr>
            <w:tcW w:w="2810" w:type="dxa"/>
            <w:shd w:val="clear" w:color="auto" w:fill="F3F3F3"/>
          </w:tcPr>
          <w:p w14:paraId="279101F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pozwolenia na budowę oraz nazwa organu, który je wydał</w:t>
            </w:r>
          </w:p>
        </w:tc>
        <w:tc>
          <w:tcPr>
            <w:tcW w:w="6838" w:type="dxa"/>
            <w:gridSpan w:val="2"/>
          </w:tcPr>
          <w:p w14:paraId="6BFC2588" w14:textId="050D759A" w:rsidR="009A3A15" w:rsidRPr="00BF0384" w:rsidRDefault="00496E5F" w:rsidP="009A3A15">
            <w:pPr>
              <w:pStyle w:val="Standard"/>
              <w:widowControl w:val="0"/>
              <w:spacing w:before="144" w:after="144"/>
              <w:rPr>
                <w:rFonts w:ascii="Times New Roman" w:eastAsia="Times New Roman" w:hAnsi="Times New Roman" w:cs="Times New Roman"/>
                <w:sz w:val="20"/>
                <w:szCs w:val="20"/>
                <w:lang w:eastAsia="pl-PL"/>
              </w:rPr>
            </w:pPr>
            <w:r w:rsidRPr="00BF0384">
              <w:rPr>
                <w:rFonts w:ascii="Times New Roman" w:eastAsia="Times New Roman" w:hAnsi="Times New Roman" w:cs="Times New Roman"/>
                <w:sz w:val="20"/>
                <w:szCs w:val="20"/>
                <w:lang w:eastAsia="pl-PL"/>
              </w:rPr>
              <w:t xml:space="preserve">Decyzja Nr </w:t>
            </w:r>
            <w:r w:rsidR="00BF0384">
              <w:rPr>
                <w:rFonts w:ascii="Times New Roman" w:eastAsia="Times New Roman" w:hAnsi="Times New Roman" w:cs="Times New Roman"/>
                <w:sz w:val="20"/>
                <w:szCs w:val="20"/>
                <w:lang w:eastAsia="pl-PL"/>
              </w:rPr>
              <w:t>76/25</w:t>
            </w:r>
            <w:r w:rsidR="00E10302" w:rsidRPr="00BF0384">
              <w:rPr>
                <w:rFonts w:ascii="Times New Roman" w:eastAsia="Times New Roman" w:hAnsi="Times New Roman" w:cs="Times New Roman"/>
                <w:sz w:val="20"/>
                <w:szCs w:val="20"/>
                <w:lang w:eastAsia="pl-PL"/>
              </w:rPr>
              <w:t xml:space="preserve"> </w:t>
            </w:r>
          </w:p>
          <w:p w14:paraId="0104CDC7" w14:textId="0E7CFCD5" w:rsidR="00B16B69" w:rsidRPr="00BF0384" w:rsidRDefault="00E22F9F" w:rsidP="009A3A15">
            <w:pPr>
              <w:pStyle w:val="Standard"/>
              <w:widowControl w:val="0"/>
              <w:spacing w:before="144" w:after="144"/>
              <w:rPr>
                <w:rFonts w:ascii="Times New Roman" w:eastAsia="Times New Roman" w:hAnsi="Times New Roman" w:cs="Times New Roman"/>
                <w:sz w:val="20"/>
                <w:szCs w:val="20"/>
                <w:lang w:eastAsia="pl-PL"/>
              </w:rPr>
            </w:pPr>
            <w:r w:rsidRPr="00BF0384">
              <w:rPr>
                <w:rFonts w:ascii="Times New Roman" w:hAnsi="Times New Roman" w:cs="Times New Roman"/>
                <w:sz w:val="20"/>
                <w:szCs w:val="20"/>
              </w:rPr>
              <w:t>Starosta Grodziski</w:t>
            </w:r>
          </w:p>
        </w:tc>
      </w:tr>
      <w:tr w:rsidR="00B16B69" w:rsidRPr="00DD7B98" w14:paraId="44DD8E43" w14:textId="77777777" w:rsidTr="00B16B69">
        <w:trPr>
          <w:trHeight w:val="195"/>
        </w:trPr>
        <w:tc>
          <w:tcPr>
            <w:tcW w:w="2810" w:type="dxa"/>
            <w:shd w:val="clear" w:color="auto" w:fill="F3F3F3"/>
          </w:tcPr>
          <w:p w14:paraId="14BABA4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5A889589" w14:textId="7D0C7C09"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 dotyczy, w trakcie budowy.</w:t>
            </w:r>
          </w:p>
        </w:tc>
      </w:tr>
      <w:tr w:rsidR="00B16B69" w:rsidRPr="00DD7B98" w14:paraId="2B1C9520" w14:textId="77777777" w:rsidTr="00B16B69">
        <w:trPr>
          <w:trHeight w:val="195"/>
        </w:trPr>
        <w:tc>
          <w:tcPr>
            <w:tcW w:w="2810" w:type="dxa"/>
            <w:shd w:val="clear" w:color="auto" w:fill="F3F3F3"/>
          </w:tcPr>
          <w:p w14:paraId="02A76846" w14:textId="4A32A21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 xml:space="preserve">Numer zgłoszenia budowy, o której mowa w art. 29 ust. 1 pkt </w:t>
            </w:r>
            <w:r w:rsidRPr="00DD7B98">
              <w:rPr>
                <w:rFonts w:ascii="Times New Roman" w:eastAsia="Times New Roman" w:hAnsi="Times New Roman" w:cs="Times New Roman"/>
                <w:sz w:val="20"/>
                <w:szCs w:val="20"/>
              </w:rPr>
              <w:lastRenderedPageBreak/>
              <w:t>1 ustawy z dnia 7 lipca 1994 r. – Prawo budowlane (Dz. U. z 202</w:t>
            </w:r>
            <w:r>
              <w:rPr>
                <w:rFonts w:ascii="Times New Roman" w:eastAsia="Times New Roman" w:hAnsi="Times New Roman" w:cs="Times New Roman"/>
                <w:sz w:val="20"/>
                <w:szCs w:val="20"/>
              </w:rPr>
              <w:t>1</w:t>
            </w:r>
            <w:r w:rsidRPr="00DD7B98">
              <w:rPr>
                <w:rFonts w:ascii="Times New Roman" w:eastAsia="Times New Roman" w:hAnsi="Times New Roman" w:cs="Times New Roman"/>
                <w:sz w:val="20"/>
                <w:szCs w:val="20"/>
              </w:rPr>
              <w:t xml:space="preserve"> r. poz. </w:t>
            </w:r>
            <w:r>
              <w:rPr>
                <w:rFonts w:ascii="Times New Roman" w:eastAsia="Times New Roman" w:hAnsi="Times New Roman" w:cs="Times New Roman"/>
                <w:sz w:val="20"/>
                <w:szCs w:val="20"/>
              </w:rPr>
              <w:t>2351</w:t>
            </w:r>
            <w:r w:rsidR="00A65138">
              <w:rPr>
                <w:rFonts w:ascii="Times New Roman" w:eastAsia="Times New Roman" w:hAnsi="Times New Roman" w:cs="Times New Roman"/>
                <w:sz w:val="20"/>
                <w:szCs w:val="20"/>
              </w:rPr>
              <w:t>, z późn. zm.</w:t>
            </w:r>
            <w:r w:rsidRPr="00DD7B98">
              <w:rPr>
                <w:rFonts w:ascii="Times New Roman" w:eastAsia="Times New Roman" w:hAnsi="Times New Roman" w:cs="Times New Roman"/>
                <w:sz w:val="20"/>
                <w:szCs w:val="20"/>
              </w:rPr>
              <w:t>), oraz oznaczenie organu, do którego dokonano zgłoszenia, wraz z informacją o braku wniesienia sprzeciwu przez ten organ</w:t>
            </w:r>
          </w:p>
        </w:tc>
        <w:tc>
          <w:tcPr>
            <w:tcW w:w="6838" w:type="dxa"/>
            <w:gridSpan w:val="2"/>
          </w:tcPr>
          <w:p w14:paraId="6B58074A" w14:textId="6281AD4E"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lastRenderedPageBreak/>
              <w:t>Nie dotyczy, deweloper uzyskał decyzję o pozwoleniu na budowę.</w:t>
            </w:r>
          </w:p>
        </w:tc>
      </w:tr>
      <w:tr w:rsidR="00B16B69" w:rsidRPr="00DD7B98" w14:paraId="1EA4C948" w14:textId="77777777" w:rsidTr="00B16B69">
        <w:trPr>
          <w:trHeight w:val="195"/>
        </w:trPr>
        <w:tc>
          <w:tcPr>
            <w:tcW w:w="2810" w:type="dxa"/>
            <w:shd w:val="clear" w:color="auto" w:fill="F3F3F3"/>
          </w:tcPr>
          <w:p w14:paraId="0291C51F" w14:textId="62185CE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zakończe</w:t>
            </w:r>
            <w:r w:rsidR="007B6386">
              <w:rPr>
                <w:rFonts w:ascii="Times New Roman" w:eastAsia="Times New Roman" w:hAnsi="Times New Roman" w:cs="Times New Roman"/>
                <w:sz w:val="20"/>
                <w:szCs w:val="20"/>
              </w:rPr>
              <w:t>nia budowy domu jednorodzinnego</w:t>
            </w:r>
          </w:p>
        </w:tc>
        <w:tc>
          <w:tcPr>
            <w:tcW w:w="6838" w:type="dxa"/>
            <w:gridSpan w:val="2"/>
          </w:tcPr>
          <w:p w14:paraId="2D43D73B" w14:textId="631F1FE3"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 dotyczy, w trakcie budowy.</w:t>
            </w:r>
          </w:p>
        </w:tc>
      </w:tr>
      <w:tr w:rsidR="00B16B69" w:rsidRPr="00DD7B98" w14:paraId="0F325D4B" w14:textId="36B6F803" w:rsidTr="00B16B69">
        <w:trPr>
          <w:trHeight w:val="195"/>
        </w:trPr>
        <w:tc>
          <w:tcPr>
            <w:tcW w:w="2810" w:type="dxa"/>
            <w:shd w:val="clear" w:color="auto" w:fill="F3F3F3"/>
          </w:tcPr>
          <w:p w14:paraId="32CA8747"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Planowany termin rozpoczęcia i zakończenia robót budowlanych</w:t>
            </w:r>
          </w:p>
        </w:tc>
        <w:tc>
          <w:tcPr>
            <w:tcW w:w="6838" w:type="dxa"/>
            <w:gridSpan w:val="2"/>
          </w:tcPr>
          <w:p w14:paraId="6142A7D7" w14:textId="2AFCCB8F" w:rsidR="00083AEA" w:rsidRPr="00BF0384" w:rsidRDefault="00B25155" w:rsidP="00083AEA">
            <w:pPr>
              <w:pStyle w:val="Standard"/>
              <w:widowControl w:val="0"/>
              <w:spacing w:before="144" w:after="144"/>
            </w:pPr>
            <w:r>
              <w:rPr>
                <w:rFonts w:ascii="Times New Roman" w:eastAsia="Times New Roman" w:hAnsi="Times New Roman" w:cs="Times New Roman"/>
                <w:sz w:val="20"/>
                <w:szCs w:val="20"/>
              </w:rPr>
              <w:t>30.01.2025</w:t>
            </w:r>
            <w:r w:rsidR="00BF0384">
              <w:rPr>
                <w:rFonts w:ascii="Times New Roman" w:eastAsia="Times New Roman" w:hAnsi="Times New Roman" w:cs="Times New Roman"/>
                <w:sz w:val="20"/>
                <w:szCs w:val="20"/>
              </w:rPr>
              <w:t xml:space="preserve"> </w:t>
            </w:r>
            <w:r w:rsidR="00411C10" w:rsidRPr="00BF0384">
              <w:rPr>
                <w:rFonts w:ascii="Times New Roman" w:eastAsia="Times New Roman" w:hAnsi="Times New Roman" w:cs="Times New Roman"/>
                <w:sz w:val="20"/>
                <w:szCs w:val="20"/>
              </w:rPr>
              <w:t>r.</w:t>
            </w:r>
            <w:r w:rsidR="00083AEA" w:rsidRPr="00BF0384">
              <w:rPr>
                <w:rFonts w:ascii="Times New Roman" w:eastAsia="Times New Roman" w:hAnsi="Times New Roman" w:cs="Times New Roman"/>
                <w:sz w:val="20"/>
                <w:szCs w:val="20"/>
              </w:rPr>
              <w:t>– termin rozpoczęcia robót budowlanych.</w:t>
            </w:r>
          </w:p>
          <w:p w14:paraId="1EB48A82" w14:textId="49718A09" w:rsidR="00B16B69" w:rsidRPr="00BF0384" w:rsidRDefault="006250B8" w:rsidP="00083AEA">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3</w:t>
            </w:r>
            <w:r w:rsidR="00BF0384">
              <w:rPr>
                <w:rFonts w:ascii="Times New Roman" w:eastAsia="Times New Roman" w:hAnsi="Times New Roman" w:cs="Times New Roman"/>
                <w:sz w:val="20"/>
                <w:szCs w:val="20"/>
              </w:rPr>
              <w:t>1</w:t>
            </w:r>
            <w:r w:rsidRPr="00BF0384">
              <w:rPr>
                <w:rFonts w:ascii="Times New Roman" w:eastAsia="Times New Roman" w:hAnsi="Times New Roman" w:cs="Times New Roman"/>
                <w:sz w:val="20"/>
                <w:szCs w:val="20"/>
              </w:rPr>
              <w:t>.12.202</w:t>
            </w:r>
            <w:r w:rsidR="00BF0384">
              <w:rPr>
                <w:rFonts w:ascii="Times New Roman" w:eastAsia="Times New Roman" w:hAnsi="Times New Roman" w:cs="Times New Roman"/>
                <w:sz w:val="20"/>
                <w:szCs w:val="20"/>
              </w:rPr>
              <w:t>6</w:t>
            </w:r>
            <w:r w:rsidR="009A3A15" w:rsidRPr="00BF0384">
              <w:rPr>
                <w:rFonts w:ascii="Times New Roman" w:eastAsia="Times New Roman" w:hAnsi="Times New Roman" w:cs="Times New Roman"/>
                <w:sz w:val="20"/>
                <w:szCs w:val="20"/>
              </w:rPr>
              <w:t xml:space="preserve"> </w:t>
            </w:r>
            <w:r w:rsidR="00083AEA" w:rsidRPr="00BF0384">
              <w:rPr>
                <w:rFonts w:ascii="Times New Roman" w:eastAsia="Times New Roman" w:hAnsi="Times New Roman" w:cs="Times New Roman"/>
                <w:sz w:val="20"/>
                <w:szCs w:val="20"/>
              </w:rPr>
              <w:t>r. – planowany termin zakończenia robót budowlanych.</w:t>
            </w:r>
          </w:p>
        </w:tc>
      </w:tr>
      <w:tr w:rsidR="00B16B69" w:rsidRPr="00DD7B98" w14:paraId="2FE3BC25" w14:textId="77777777" w:rsidTr="00B16B69">
        <w:trPr>
          <w:trHeight w:val="325"/>
        </w:trPr>
        <w:tc>
          <w:tcPr>
            <w:tcW w:w="2810" w:type="dxa"/>
            <w:vMerge w:val="restart"/>
            <w:shd w:val="clear" w:color="auto" w:fill="F3F3F3"/>
          </w:tcPr>
          <w:p w14:paraId="0FA6112F" w14:textId="12FB2BD5"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Opis przedsięwzięcia deweloperskiego lub zadania inwestycyjnego</w:t>
            </w:r>
          </w:p>
        </w:tc>
        <w:tc>
          <w:tcPr>
            <w:tcW w:w="3419" w:type="dxa"/>
          </w:tcPr>
          <w:p w14:paraId="70EDF3A4" w14:textId="522631FA" w:rsidR="00B16B69" w:rsidRPr="00BF0384" w:rsidRDefault="00B16B69" w:rsidP="006C5700">
            <w:pPr>
              <w:spacing w:beforeLines="60" w:before="144" w:afterLines="60" w:after="144" w:line="240" w:lineRule="auto"/>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Liczba budynków</w:t>
            </w:r>
          </w:p>
        </w:tc>
        <w:tc>
          <w:tcPr>
            <w:tcW w:w="3419" w:type="dxa"/>
          </w:tcPr>
          <w:p w14:paraId="73A8DAED" w14:textId="35B02228" w:rsidR="00B16B69" w:rsidRPr="00BF0384" w:rsidRDefault="00B25155"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16B69" w:rsidRPr="00DD7B98" w14:paraId="08030D8D" w14:textId="77777777" w:rsidTr="00B16B69">
        <w:trPr>
          <w:trHeight w:val="325"/>
        </w:trPr>
        <w:tc>
          <w:tcPr>
            <w:tcW w:w="2810" w:type="dxa"/>
            <w:vMerge/>
            <w:shd w:val="clear" w:color="auto" w:fill="F3F3F3"/>
          </w:tcPr>
          <w:p w14:paraId="4EB5AFA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B1FABAD" w14:textId="6D9FCB5D"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909CCCF" w14:textId="0DF416BF"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3 - Szkic koncepcji zagospodarowania terenu inwestycji i jego otoczenia z zaznaczeniem budynk</w:t>
            </w:r>
            <w:r w:rsidR="00B953CB">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tc>
      </w:tr>
      <w:tr w:rsidR="00B16B69" w:rsidRPr="00DD7B98" w14:paraId="3EC828CF" w14:textId="11D0EA8C" w:rsidTr="00B3746E">
        <w:trPr>
          <w:trHeight w:val="488"/>
        </w:trPr>
        <w:tc>
          <w:tcPr>
            <w:tcW w:w="2810" w:type="dxa"/>
            <w:shd w:val="clear" w:color="auto" w:fill="F3F3F3"/>
          </w:tcPr>
          <w:p w14:paraId="782B808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Sposób pomiaru powierzchni użytkowej lokalu mieszkalnego albo domu jednorodzinnego</w:t>
            </w:r>
          </w:p>
        </w:tc>
        <w:tc>
          <w:tcPr>
            <w:tcW w:w="6838" w:type="dxa"/>
            <w:gridSpan w:val="2"/>
          </w:tcPr>
          <w:p w14:paraId="37EDF476" w14:textId="31BCF56A" w:rsidR="00B16B69" w:rsidRPr="00DD7B98" w:rsidRDefault="00496E5F"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Powierzchnia użytkowa została określona na podstawie Rozporządzenia Ministra Rozwoju z dnia 11 września 2020 r. w sprawie szczegółowego zakresu i formy projektu budowlanego, zgodnie z zasadami zawartymi w Polskiej Normie PN-ISO 9836 „Właściwości użytkowe w budownictwie – Określanie i obliczanie wskaźników powierzchniowych i kubaturowych”, wymienionej w załączniku do rozporządzenia, uwzględniając przepisy § 14 pkt 4 lit. a oraz § 20 ust. 1 pkt 4 lit. b. rozporządzenia.</w:t>
            </w:r>
          </w:p>
        </w:tc>
      </w:tr>
      <w:tr w:rsidR="00B16B69" w:rsidRPr="00DD7B98" w14:paraId="20C2AD70" w14:textId="77777777" w:rsidTr="00B16B69">
        <w:tc>
          <w:tcPr>
            <w:tcW w:w="2810" w:type="dxa"/>
            <w:vMerge w:val="restart"/>
            <w:shd w:val="clear" w:color="auto" w:fill="F3F3F3"/>
          </w:tcPr>
          <w:p w14:paraId="67BEC5AC" w14:textId="055B95B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Zamierzony sposób i procentowy udział źródeł finansowania przedsięwzięcia deweloperskiego lub zadania inwestycyjnego</w:t>
            </w:r>
          </w:p>
        </w:tc>
        <w:tc>
          <w:tcPr>
            <w:tcW w:w="3419" w:type="dxa"/>
          </w:tcPr>
          <w:p w14:paraId="1CB23898" w14:textId="73538960" w:rsidR="00B16B69" w:rsidRPr="00DD7B98" w:rsidDel="00E703EC"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Rodzaj posiadanych środków finansowych – kredyt, środki własne, inne</w:t>
            </w:r>
          </w:p>
        </w:tc>
        <w:tc>
          <w:tcPr>
            <w:tcW w:w="3419" w:type="dxa"/>
          </w:tcPr>
          <w:p w14:paraId="7C31E247" w14:textId="2692EF00"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Środki własne dewelopera, w tym pochodzące z wpłat dokonywanych przez Nabywcę.</w:t>
            </w:r>
          </w:p>
        </w:tc>
      </w:tr>
      <w:tr w:rsidR="00B16B69" w:rsidRPr="00DD7B98" w14:paraId="2EE1B8BE" w14:textId="77777777" w:rsidTr="00B16B69">
        <w:tc>
          <w:tcPr>
            <w:tcW w:w="2810" w:type="dxa"/>
            <w:vMerge/>
            <w:shd w:val="clear" w:color="auto" w:fill="F3F3F3"/>
          </w:tcPr>
          <w:p w14:paraId="67846E0A" w14:textId="77777777" w:rsidR="00B16B69" w:rsidRPr="00DD7B98" w:rsidRDefault="00B16B69" w:rsidP="00B16B69">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7E52FE" w14:textId="403F795E"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następujących instytucjach finansowych (wypełnia się w przypadku kredytu)</w:t>
            </w:r>
          </w:p>
        </w:tc>
        <w:tc>
          <w:tcPr>
            <w:tcW w:w="3419" w:type="dxa"/>
          </w:tcPr>
          <w:p w14:paraId="2F42C08D" w14:textId="3ABAC4A8"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55676252" w14:textId="77777777" w:rsidTr="00B16B69">
        <w:trPr>
          <w:trHeight w:val="1481"/>
        </w:trPr>
        <w:tc>
          <w:tcPr>
            <w:tcW w:w="2810" w:type="dxa"/>
            <w:vMerge w:val="restart"/>
            <w:shd w:val="clear" w:color="auto" w:fill="F3F3F3"/>
          </w:tcPr>
          <w:p w14:paraId="24790A7F"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Środki ochrony nabywców</w:t>
            </w:r>
          </w:p>
        </w:tc>
        <w:tc>
          <w:tcPr>
            <w:tcW w:w="3419" w:type="dxa"/>
          </w:tcPr>
          <w:p w14:paraId="529469D3" w14:textId="07CB81A6"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Otwarty mieszkaniowy rachunek powierniczy*</w:t>
            </w:r>
          </w:p>
        </w:tc>
        <w:tc>
          <w:tcPr>
            <w:tcW w:w="3419" w:type="dxa"/>
          </w:tcPr>
          <w:p w14:paraId="22ACACA1" w14:textId="2539634C" w:rsidR="00F7371C" w:rsidRPr="00496E5F" w:rsidRDefault="00F7371C" w:rsidP="006C5700">
            <w:pPr>
              <w:spacing w:beforeLines="60" w:before="144" w:afterLines="60" w:after="144" w:line="240" w:lineRule="auto"/>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Zamknięty mieszkaniowy rachunek powierniczy*</w:t>
            </w:r>
          </w:p>
        </w:tc>
      </w:tr>
      <w:tr w:rsidR="00F7371C" w:rsidRPr="00DD7B98" w14:paraId="04073C89" w14:textId="77777777" w:rsidTr="002568E5">
        <w:tc>
          <w:tcPr>
            <w:tcW w:w="2810" w:type="dxa"/>
            <w:vMerge/>
            <w:shd w:val="clear" w:color="auto" w:fill="F3F3F3"/>
          </w:tcPr>
          <w:p w14:paraId="2FA80805"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C488540" w14:textId="2625A7C0"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Wysokość stawki procentowej, według której jest obliczana kwota składki na Deweloperski Fundusz Gwarancyjny</w:t>
            </w:r>
            <w:r w:rsidRPr="00DD7B98">
              <w:rPr>
                <w:rStyle w:val="IGindeksgrny"/>
                <w:rFonts w:ascii="Times New Roman" w:hAnsi="Times New Roman" w:cs="Times New Roman"/>
                <w:sz w:val="20"/>
                <w:szCs w:val="20"/>
              </w:rPr>
              <w:footnoteReference w:id="7"/>
            </w:r>
            <w:r w:rsidRPr="00DD7B98">
              <w:rPr>
                <w:rStyle w:val="IGindeksgrny"/>
                <w:rFonts w:ascii="Times New Roman" w:hAnsi="Times New Roman" w:cs="Times New Roman"/>
                <w:sz w:val="20"/>
                <w:szCs w:val="20"/>
              </w:rPr>
              <w:t>)</w:t>
            </w:r>
          </w:p>
        </w:tc>
        <w:tc>
          <w:tcPr>
            <w:tcW w:w="3419" w:type="dxa"/>
          </w:tcPr>
          <w:p w14:paraId="652CD57E" w14:textId="29F7FB84" w:rsidR="00F7371C" w:rsidRPr="00DD7B98" w:rsidRDefault="00496E5F" w:rsidP="00524D14">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9327A6" w:rsidRPr="00DD7B98" w14:paraId="1AD61480" w14:textId="77777777" w:rsidTr="002568E5">
        <w:tc>
          <w:tcPr>
            <w:tcW w:w="2810" w:type="dxa"/>
            <w:shd w:val="clear" w:color="auto" w:fill="F3F3F3"/>
          </w:tcPr>
          <w:p w14:paraId="24AA0D9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Główne zasady funkcjonowania wybranego rodzaju zabezpieczenia środków nabywcy</w:t>
            </w:r>
          </w:p>
        </w:tc>
        <w:tc>
          <w:tcPr>
            <w:tcW w:w="6838" w:type="dxa"/>
            <w:gridSpan w:val="2"/>
          </w:tcPr>
          <w:p w14:paraId="6EE7E5CD"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o prowadzenie otwartego mieszkaniowego rachunku powierniczego (dalej „Umowa”) została zawarta w celu zapewnienia ochrony wpłat dokonywanych przez Nabywców (dalej „Powierzający”) na podstawie umów wskazanych w ust. 2 Umowy, w tym umowy deweloperskiej, zawieranych w formie aktów notarialnych pomiędzy Deweloperem (dalej „Powiernik”) a Powierzającymi, zgodnie z przepisami ustawy z dnia 20 maja 2021 r. o ochronie praw nabywcy lokalu mieszkalnego lub domu jednorodzinnego oraz Deweloperskim Funduszu Gwarancyjnym (dalej „Ustawa”). </w:t>
            </w:r>
          </w:p>
          <w:p w14:paraId="5167CF6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Zgodnie z Umową:</w:t>
            </w:r>
          </w:p>
          <w:p w14:paraId="168B70EA" w14:textId="11EEEAB0" w:rsidR="00435510" w:rsidRDefault="00435510" w:rsidP="00435510">
            <w:pPr>
              <w:pStyle w:val="Standard"/>
              <w:widowControl w:val="0"/>
              <w:spacing w:before="144" w:after="144"/>
            </w:pPr>
            <w:bookmarkStart w:id="0" w:name="_Hlk125121966"/>
            <w:r>
              <w:rPr>
                <w:rFonts w:ascii="Times New Roman" w:eastAsia="Times New Roman" w:hAnsi="Times New Roman" w:cs="Times New Roman"/>
                <w:sz w:val="20"/>
                <w:szCs w:val="20"/>
                <w:lang w:eastAsia="pl-PL"/>
              </w:rPr>
              <w:t xml:space="preserve">1. Bank otworzył na rzecz Powiernika otwarty mieszkaniowy rachunek powierniczy o numerze </w:t>
            </w:r>
            <w:r w:rsidR="00B25155" w:rsidRPr="006E3F89">
              <w:rPr>
                <w:rFonts w:ascii="Times New Roman" w:eastAsia="Times New Roman" w:hAnsi="Times New Roman" w:cs="Times New Roman"/>
                <w:b/>
                <w:bCs/>
                <w:sz w:val="20"/>
                <w:szCs w:val="20"/>
                <w:lang w:eastAsia="pl-PL"/>
              </w:rPr>
              <w:t>68 9297 0005 0159 0048 2100 0032</w:t>
            </w:r>
            <w:r>
              <w:rPr>
                <w:rFonts w:ascii="Times New Roman" w:eastAsia="Times New Roman" w:hAnsi="Times New Roman" w:cs="Times New Roman"/>
                <w:sz w:val="20"/>
                <w:szCs w:val="20"/>
                <w:lang w:eastAsia="pl-PL"/>
              </w:rPr>
              <w:t>, w walucie PLN (dalej „OMRP”), na którym Bank ewidencjonuje wpłaty i wypłaty dokonywane przez Powierzających odrębnie dla każdego Powierzającego oraz otworzył powiązane z OMRP ewidencyjne  numery otwartych mieszkaniowych rachunków powierniczych dla każdego Powierzającego o numerach określonych w „Wykazie ewidencyjnych OMRP” stanowiącym załącznik nr 1 do Umowy. Wpłaty dokonywane na ewidencyjne mieszkaniowe rachunki powiernicze księgowane będą  na OMRP.</w:t>
            </w:r>
          </w:p>
          <w:p w14:paraId="7E778F1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Bank zobowiązał się do przyjmowania i przechowywania środków pieniężnych wpłaconych przez Powierzającego na OMRP, z zastrzeżeniem wykonania przez Powiernika postanowień ust. 4 Umowy, oraz do realizacji dyspozycji Powiernika wypłat środków pieniężnych, zdeponowanych przez poszczególnych Powierzających na rachunek pomocniczy prowadzony w Banku, z zastrzeżeniem postanowień § 6, 8, 9 i 10 Umowy, lub do zwrotu środków pieniężnych Powierzającym w przypadkach określonych w Umowie.</w:t>
            </w:r>
          </w:p>
          <w:p w14:paraId="4BB8FCC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Powiernik przyporządkowuje każdemu Powierzającemu ewidencyjny numer OMRP określony w Wykazie ewidencyjnych OMRP będącym załącznikiem nr 1 do Umowy. Ewidencyjny numer OMPR jest indywidualny i może być wykorzystany wyłącznie do jednej umowy zawartej z Powierzającym.</w:t>
            </w:r>
          </w:p>
          <w:p w14:paraId="12C7657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Środki pieniężne zgromadzone na OMRP są nieoprocentowane</w:t>
            </w:r>
          </w:p>
          <w:p w14:paraId="068D79E1"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Powiernik jest zobowiązany do dokonywania terminowych wpłat składek na Deweloperski Fundusz Gwarancyjny (dalej „DFG”).</w:t>
            </w:r>
          </w:p>
          <w:p w14:paraId="7C895DD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Powiernik jest zobowiązany do wyliczenia wysokości składki na DFG oraz do dokonania wpłaty należnej składki do Banku. Wpłata składki następuje na ewidencyjny rachunek składki prowadzony dla każdego Powierzającego, powiązany z OMRP.</w:t>
            </w:r>
          </w:p>
          <w:p w14:paraId="3CE0F3CB"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 Składka przekazana do DFG nie podlega zwrotowi.</w:t>
            </w:r>
          </w:p>
          <w:p w14:paraId="1CF576B5"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 Bank otworzył ewidencyjny rachunek składki dla każdego Powierzającego, zgodnie z załącznikiem nr 8 do Umowy.</w:t>
            </w:r>
          </w:p>
          <w:p w14:paraId="0FD7CDEE"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Powiernik zobowiązany jest zawiadomić Bank o zakończeniu każdego etapu realizacji przedsięwzięcia deweloperskiego poprzez złożenie Zawiadomienia o zakończeniu etapu realizacji przedsięwzięcia deweloperskiego wraz z dyspozycją wypłaty, stanowiącego załącznik nr 4 do Umowy, oraz dokumentów wskazanych w Liście dokumentów do przeprowadzenia kontroli inwestycji wykonania poszczególnych etapów przedsięwzięcia deweloperskiego stanowiącej załącznik nr 6 do Umowy.</w:t>
            </w:r>
          </w:p>
          <w:p w14:paraId="6503E49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10. Bank dokonuje kontroli zakończenia każdego etapu przedsięwzięcia deweloperskiego. Koszty kontroli ponosi Powiernik.</w:t>
            </w:r>
          </w:p>
          <w:p w14:paraId="6164AF5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W przypadku, gdy kontrola zakończenia danego etapu realizacji przedsięwzięcia deweloperskiego dała wynik negatywny, Bank, w terminie 5 dni roboczych od dnia zakończenia czynności kontrolnych poinformuje Powiernika  w formie pisemnej o odmowie wykonania dyspozycji wypłaty środków z OMRP wraz ze wskazaniem przyczyny oraz  o pobraniu z rachunku bieżącego Powiernika dodatkowej opłaty za sporządzenie raportu z kontroli zawierającego negatywną ocenę w wysokości określonej postanowieniami Umowy.</w:t>
            </w:r>
          </w:p>
          <w:p w14:paraId="6EA6C769"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Powiernik i Powierzający nie posiadają uprawnień do dysponowania środkami zgromadzonymi na OMRP, w tym w szczególności – składania dyspozycji wypłaty tych środków, za wyjątkiem sytuacji wskazanych wyraźnie w Umowie.</w:t>
            </w:r>
          </w:p>
          <w:p w14:paraId="0F3CF33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Wypłaty z OMRP, będą dokonywane zgodnie z harmonogramem przedsięwzięcia deweloperskiego, o ile spełnione zostaną warunki określone w § 9 i 10 Umowy.</w:t>
            </w:r>
          </w:p>
          <w:p w14:paraId="304A75F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Powiernik zobowiązał się dysponować środkami wypłacanymi z OMPR wyłącznie w celu finansowania lub  refinansowania przedsięwzięcia deweloperskiego, dla którego jest prowadzony OMRP</w:t>
            </w:r>
          </w:p>
          <w:p w14:paraId="339B81E8"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Powierzający ma prawo do żądania szczegółowych informacji o wpłatach i wypłatach dokonanych na OMRP określony w umowie, której jest stroną, takich jak data oraz kwoty wpłat i wypłat, a Bank ma obowiązek przekazania informacji w tym zakresie.</w:t>
            </w:r>
          </w:p>
          <w:p w14:paraId="6FD37593"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 Wszelkie informacje dotyczące systemu gwarantowania środków pieniężnych, na podstawie Ustawy o Bankowym Funduszu Gwarancyjnym, są możliwe do uzyskania w placówkach lub na stronie internetowej Banku.</w:t>
            </w:r>
          </w:p>
          <w:p w14:paraId="1E526F82"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 Powiernik zobowiązany jest do przekazania Bankowi danych personalnych Powierzającego, w celu jego identyfikacji jako deponenta, na potrzeby realizacji obowiązków wynikających z Ustawy o Bankowym Funduszu Gwarancyjnym, w postaci Informacji o Powierzającym  – której wzór stanowi załącznik nr 7 do Umowy, w terminie do 3 dni od dnia podpisania umowy, o której mowa w  § 1 ust. 2-4 Umowy.</w:t>
            </w:r>
          </w:p>
          <w:p w14:paraId="5B8C7F4E"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Umowa zawarta jest na czas oznaczony, tj. do  dnia, w którym nastąpi przeniesienie praw z ostatniej umowy, o której mowa w § 1 ust. 2-4 Umowy, w ramach  przedsięwzięcia deweloperskiego. </w:t>
            </w:r>
          </w:p>
          <w:p w14:paraId="37FCAC34"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19. Zamknięcie OMPR następuje na wniosek Powiernika, jednak nie wcześniej niż do czasu rozliczenia ostatniego rachunku Powierzającego, tj. przejścia całej kwoty należnej Powiernikowi przez OMRP. </w:t>
            </w:r>
          </w:p>
          <w:p w14:paraId="73670AB3"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20. Bank zamknie  OMRP na wniosek Powiernika po złożeniu przez Powiernika na piśmie oświadczenia, że  w stosunku do lokali jakie pozostały w przedsięwzięciu deweloperskim nie będzie zawierał umów, o których mowa w § 1 ust. 2-4 Umowy albo oświadczenia, że  przeniósł prawa do wszystkich lokali objętych przedsięwzięciem deweloperskim.   </w:t>
            </w:r>
          </w:p>
          <w:p w14:paraId="53125DA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Strony dopuściły możliwość rozwiązania Umowy za porozumieniem Stron, w przypadku nie uzyskania przez Powiernika finansowania na inwestycję.</w:t>
            </w:r>
          </w:p>
          <w:p w14:paraId="029EB2D9"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Prawo wypowiedzenia Umowy posiada jedynie Bank i wyłącznie z ważnych powodów wskazanych w Umowie (§ 25 ust., 2 Umowy wskazuje ważne powody). Termin wypowiedzenia Umowy wynosi 60 dni, z zastrzeżeniem że termin ten ulega skróceniu, w przypadku gdy przed jego upływem Deweloper zawrze umowę mieszkaniowego rachunku powierniczego z innym bankiem.</w:t>
            </w:r>
          </w:p>
          <w:p w14:paraId="1D3FDBA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23. W przypadku wypowiedzenia Umowy, Powiernik zobowiązany jest niezwłocznie założyć nowy mieszkaniowy rachunek powierniczy w innym banku, jednak nie później niż w terminie 60 dni kalendarzowych od dnia wypowiedzenia </w:t>
            </w:r>
            <w:r>
              <w:rPr>
                <w:rFonts w:ascii="Times New Roman" w:eastAsia="Times New Roman" w:hAnsi="Times New Roman" w:cs="Times New Roman"/>
                <w:sz w:val="20"/>
                <w:szCs w:val="20"/>
                <w:lang w:eastAsia="pl-PL"/>
              </w:rPr>
              <w:lastRenderedPageBreak/>
              <w:t>Umowy z zastrzeżeniem że przedmiotem zawieranej umowy jest prowadzenie takiego samego rodzaju mieszkaniowego rachunku powierniczego, jak w przypadku Umowy, która została wypowiedziana.</w:t>
            </w:r>
          </w:p>
          <w:p w14:paraId="35D9EDE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w:t>
            </w:r>
          </w:p>
          <w:p w14:paraId="686C3910" w14:textId="0487D6A4" w:rsidR="002F7575" w:rsidRPr="00DD7B98" w:rsidRDefault="00435510" w:rsidP="00435510">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25. W przypadku gdy Powiernik nie przedstawi oświadczenia banku, o którym mowa powyżej, w terminie 60 dni od dnia wypowiedzenia umowy mieszkaniowego rachunku powierniczego, Bank niezwłocznie zwraca Powierzającym środki znajdujące się na OMRP.</w:t>
            </w:r>
            <w:bookmarkEnd w:id="0"/>
          </w:p>
        </w:tc>
      </w:tr>
      <w:tr w:rsidR="009327A6" w:rsidRPr="00DD7B98" w14:paraId="76D3A109" w14:textId="77777777" w:rsidTr="002568E5">
        <w:trPr>
          <w:trHeight w:val="293"/>
        </w:trPr>
        <w:tc>
          <w:tcPr>
            <w:tcW w:w="2810" w:type="dxa"/>
            <w:shd w:val="clear" w:color="auto" w:fill="F3F3F3"/>
          </w:tcPr>
          <w:p w14:paraId="21DD2561"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3BEFBA87" w14:textId="63FD657D" w:rsidR="009327A6" w:rsidRPr="00DD7B98" w:rsidRDefault="00962259"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Bank Spółdzielczy w Skierniewicach z siedzibą w Skierniewicach, ul. Reymonta 25, 96-100 Skierniewice, którego dokumentacja jest przechowywana w Sądzie Rejonowym dla Łodzi- Śródmieścia w Łodzi, XX Wydział Krajowego Rejestru Sądowego, wpisany do rejestru przedsiębiorców pod numerem KRS 0000105572, NIP 836-00-06-262, REGON 000503221.</w:t>
            </w:r>
          </w:p>
        </w:tc>
      </w:tr>
      <w:tr w:rsidR="009327A6" w:rsidRPr="00DD7B98" w14:paraId="25B59E33" w14:textId="77777777" w:rsidTr="002568E5">
        <w:trPr>
          <w:trHeight w:val="488"/>
        </w:trPr>
        <w:tc>
          <w:tcPr>
            <w:tcW w:w="2810" w:type="dxa"/>
            <w:shd w:val="clear" w:color="auto" w:fill="F3F3F3"/>
          </w:tcPr>
          <w:p w14:paraId="2FD5C7D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Harmonogram przedsięwzięcia deweloperskiego lub zadania inwestycyjnego</w:t>
            </w:r>
          </w:p>
        </w:tc>
        <w:tc>
          <w:tcPr>
            <w:tcW w:w="6838" w:type="dxa"/>
            <w:gridSpan w:val="2"/>
          </w:tcPr>
          <w:p w14:paraId="00BCC324"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1 - nabycie nieruchomości, projekt budowlany, pozwolenie na budowę - 25 %</w:t>
            </w:r>
            <w:r w:rsidRPr="00BF0384">
              <w:rPr>
                <w:rFonts w:ascii="Times New Roman" w:eastAsia="Times New Roman" w:hAnsi="Times New Roman"/>
                <w:bCs/>
                <w:sz w:val="20"/>
                <w:szCs w:val="20"/>
                <w:lang w:eastAsia="pl-PL"/>
              </w:rPr>
              <w:tab/>
              <w:t>30 stycznia 2025 r.</w:t>
            </w:r>
          </w:p>
          <w:p w14:paraId="6496F459" w14:textId="790DA16D"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2 - roboty przygotowawcze, roboty ziemne, wykonanie ław fundamentowych i fundamentów, izolacja przeciwwilgociowa fundamentów, izolacja cieplna fundamentów, wykonanie kanalizacji podziemnej i przepustów technicznych na pozostałe instalacje, wykonanie chudego betonu w poziomie parteru - 15%</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30 czerwiec 2025 r.</w:t>
            </w:r>
          </w:p>
          <w:p w14:paraId="0E28E3FC" w14:textId="3116209B"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3 - wymurowanie ścian zewnętrznych parteru, wykonanie klatek schodowych, stropów nad poziomem parteru - 10%</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sierpień 2025 r.</w:t>
            </w:r>
          </w:p>
          <w:p w14:paraId="51BEFDD5" w14:textId="5822E1FF"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4 - wymurowanie ścian zewnętrznych i konstrukcyjnych poziomu piętra, wykonanie więźby dachowej, wykonanie pokrycia dachowego (bez obróbek blacharskich i rynien), wymurowanie ścian wewnętrznych - 10%</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październik 2025 r.</w:t>
            </w:r>
          </w:p>
          <w:p w14:paraId="5E7535FA" w14:textId="77777777" w:rsidR="00F05CE7"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5 - montaż stolarki okiennej i drzwiowej, wykonanie instalacji elektrycznych wewnętrznych, wykonanie tynków wewnętrznych - 10 %</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grudzień 2025 r.</w:t>
            </w:r>
          </w:p>
          <w:p w14:paraId="12FB2485" w14:textId="7E92E265"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6 - wykonanie instalacji sanitarnej wewnętrznej (rozprowadzenia c.o, z.c.w.u, kanalizacja bez montażu kotłowni), wykonanie posadzek wewnętrznych - 10 %</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marzec 2026 r.</w:t>
            </w:r>
          </w:p>
          <w:p w14:paraId="47B4AC80" w14:textId="2E756858"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7 - wykonanie ocieplenia budynku i elewacji, wykonanie instalacji zewnętrznych - 10 %</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lipiec 2026 r.</w:t>
            </w:r>
          </w:p>
          <w:p w14:paraId="37612AD9" w14:textId="77BEB1DC" w:rsidR="00962259" w:rsidRPr="00BF0384" w:rsidRDefault="00BF0384" w:rsidP="00BF0384">
            <w:pPr>
              <w:spacing w:beforeLines="60" w:before="144" w:afterLines="60" w:after="144" w:line="240" w:lineRule="auto"/>
              <w:jc w:val="both"/>
              <w:rPr>
                <w:rFonts w:ascii="Times New Roman" w:eastAsia="Times New Roman" w:hAnsi="Times New Roman" w:cs="Times New Roman"/>
                <w:bCs/>
                <w:sz w:val="20"/>
                <w:szCs w:val="20"/>
                <w:highlight w:val="yellow"/>
              </w:rPr>
            </w:pPr>
            <w:r w:rsidRPr="00BF0384">
              <w:rPr>
                <w:rFonts w:ascii="Times New Roman" w:eastAsia="Times New Roman" w:hAnsi="Times New Roman"/>
                <w:bCs/>
                <w:sz w:val="20"/>
                <w:szCs w:val="20"/>
                <w:lang w:eastAsia="pl-PL"/>
              </w:rPr>
              <w:t>ETAP 8 - montaż kotłowni, wykonanie robót zewnętrznych, zakończenie robót, oddanie budynku do użytkowania - 10 %</w:t>
            </w:r>
            <w:r w:rsidRPr="00BF0384">
              <w:rPr>
                <w:rFonts w:ascii="Times New Roman" w:eastAsia="Times New Roman" w:hAnsi="Times New Roman"/>
                <w:bCs/>
                <w:sz w:val="20"/>
                <w:szCs w:val="20"/>
                <w:lang w:eastAsia="pl-PL"/>
              </w:rPr>
              <w:tab/>
            </w:r>
            <w:r w:rsidR="00F05CE7" w:rsidRPr="00F05CE7">
              <w:rPr>
                <w:rFonts w:ascii="Times New Roman" w:eastAsia="Times New Roman" w:hAnsi="Times New Roman"/>
                <w:bCs/>
                <w:sz w:val="20"/>
                <w:szCs w:val="20"/>
                <w:lang w:eastAsia="pl-PL"/>
              </w:rPr>
              <w:t>31 grudzień 2026 r.</w:t>
            </w:r>
          </w:p>
        </w:tc>
      </w:tr>
      <w:tr w:rsidR="009327A6" w:rsidRPr="00DD7B98" w14:paraId="092D6846" w14:textId="77777777" w:rsidTr="002568E5">
        <w:trPr>
          <w:trHeight w:val="292"/>
        </w:trPr>
        <w:tc>
          <w:tcPr>
            <w:tcW w:w="2810" w:type="dxa"/>
            <w:shd w:val="clear" w:color="auto" w:fill="F3F3F3"/>
          </w:tcPr>
          <w:p w14:paraId="4382DC6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Dopuszczenie waloryzacji ceny oraz określenie zasad waloryzacji</w:t>
            </w:r>
          </w:p>
        </w:tc>
        <w:tc>
          <w:tcPr>
            <w:tcW w:w="6838" w:type="dxa"/>
            <w:gridSpan w:val="2"/>
          </w:tcPr>
          <w:p w14:paraId="0E4F0988" w14:textId="6715AB2C" w:rsidR="009327A6" w:rsidRPr="00DD7B98" w:rsidRDefault="00496E5F"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9327A6" w:rsidRPr="00DD7B98" w14:paraId="18CAB3F3" w14:textId="77777777" w:rsidTr="002568E5">
        <w:tc>
          <w:tcPr>
            <w:tcW w:w="9648" w:type="dxa"/>
            <w:gridSpan w:val="3"/>
            <w:tcBorders>
              <w:bottom w:val="single" w:sz="4" w:space="0" w:color="auto"/>
            </w:tcBorders>
            <w:shd w:val="clear" w:color="auto" w:fill="E0E0E0"/>
          </w:tcPr>
          <w:p w14:paraId="34396454" w14:textId="3F7AD8AB" w:rsidR="009327A6" w:rsidRPr="00DD7B98" w:rsidRDefault="009327A6" w:rsidP="006C5700">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WARUNKI ODSTĄPIENIA OD UMOWY DEWELOPERSKIEJ LUB UMOWY, O KTÓREJ MOWA W ART. 2 UST. 1 PKT 2, 3 LUB 5</w:t>
            </w:r>
            <w:r w:rsidR="00EB2917">
              <w:rPr>
                <w:rFonts w:ascii="Times New Roman" w:eastAsia="Times New Roman" w:hAnsi="Times New Roman" w:cs="Times New Roman"/>
                <w:b/>
                <w:sz w:val="20"/>
                <w:szCs w:val="20"/>
              </w:rPr>
              <w:t xml:space="preserve"> USTAWY Z DNIA 20 MAJA 2021 r. </w:t>
            </w:r>
            <w:r w:rsidRPr="00DD7B98">
              <w:rPr>
                <w:rFonts w:ascii="Times New Roman" w:eastAsia="Times New Roman" w:hAnsi="Times New Roman" w:cs="Times New Roman"/>
                <w:b/>
                <w:sz w:val="20"/>
                <w:szCs w:val="20"/>
              </w:rPr>
              <w:t>O OCHRONIE PRAW NABYWCY LOKALU MIESZKALNEGO LUB DOMU JEDNORODZINNEGO ORAZ DEWE</w:t>
            </w:r>
            <w:r w:rsidR="00F019BC">
              <w:rPr>
                <w:rFonts w:ascii="Times New Roman" w:eastAsia="Times New Roman" w:hAnsi="Times New Roman" w:cs="Times New Roman"/>
                <w:b/>
                <w:sz w:val="20"/>
                <w:szCs w:val="20"/>
              </w:rPr>
              <w:t>LOPERSKIM FUNDUSZU GWARANCYJNYM</w:t>
            </w:r>
          </w:p>
        </w:tc>
      </w:tr>
      <w:tr w:rsidR="009327A6" w:rsidRPr="00DD7B98" w14:paraId="04428CFA" w14:textId="77777777" w:rsidTr="002568E5">
        <w:trPr>
          <w:trHeight w:val="1512"/>
        </w:trPr>
        <w:tc>
          <w:tcPr>
            <w:tcW w:w="2810" w:type="dxa"/>
            <w:tcBorders>
              <w:bottom w:val="single" w:sz="4" w:space="0" w:color="auto"/>
            </w:tcBorders>
            <w:shd w:val="clear" w:color="auto" w:fill="F3F3F3"/>
          </w:tcPr>
          <w:p w14:paraId="3366250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lastRenderedPageBreak/>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779B77D4" w14:textId="77777777" w:rsidR="00496E5F"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1. Nabywca ma prawo odstąpić od umowy deweloperskiej:</w:t>
            </w:r>
          </w:p>
          <w:p w14:paraId="2250F77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jeżeli umowa deweloperska nie zawiera elementów, o których mowa w art. 35 ustawy o ochronie praw nabywcy lokalu mieszkalnego lub domu jednorodzinnego oraz </w:t>
            </w:r>
            <w:r w:rsidRPr="00C844AC">
              <w:rPr>
                <w:rFonts w:ascii="Times New Roman" w:eastAsia="Times New Roman" w:hAnsi="Times New Roman" w:cs="Times New Roman"/>
                <w:sz w:val="20"/>
                <w:szCs w:val="20"/>
              </w:rPr>
              <w:t>deweloperskim funduszu gwarancyjnym (dalej „Ustawa”);</w:t>
            </w:r>
          </w:p>
          <w:p w14:paraId="1731E54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jeżeli informacje zawarte w umowie deweloperskiej nie są zgodne z informacjami zawartymi w Prospekcie Informacyjnym lub jego załącznikach, z wyjątkiem zmian, o których mowa w art. 35 ust. 2 Ustawy;</w:t>
            </w:r>
          </w:p>
          <w:p w14:paraId="70366B6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jeżeli deweloper nie doręczył zgodnie z art. 21 lub art. 22 Ustawy Prospektu Informacyjnego wraz z załącznikami lub informacji o zmianie danych lub informacji zawartych w Prospekcie Informacyjnym lub jego załącznikach;</w:t>
            </w:r>
          </w:p>
          <w:p w14:paraId="72C228C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jeżeli dane lub informacje zawarte w Prospekcie Informacyjnym lub jego załącznikach, na podstawie których zawarto umowę deweloperską, są niezgodne ze stanem faktycznym lub prawnym w dniu zawarcia umowy;</w:t>
            </w:r>
          </w:p>
          <w:p w14:paraId="1DA236B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jeżeli Prospekt Informacyjny, na podstawie którego zawarto umowę deweloperską, nie zawiera danych lub informacji określonych we wzorze Prospektu Informacyjnego (stanowiącego załącznik do Ustawy);</w:t>
            </w:r>
          </w:p>
          <w:p w14:paraId="731A437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w przypadku nieprzeniesienia na Nabywcę praw wynikających z umowy deweloperskiej w terminie wynikającym z tej umowy;</w:t>
            </w:r>
          </w:p>
          <w:p w14:paraId="519B8B37" w14:textId="52D20BA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7) </w:t>
            </w:r>
            <w:r w:rsidR="00524D14" w:rsidRPr="00C844AC">
              <w:rPr>
                <w:rFonts w:ascii="Times New Roman" w:eastAsia="Times New Roman" w:hAnsi="Times New Roman" w:cs="Times New Roman"/>
                <w:sz w:val="20"/>
                <w:szCs w:val="20"/>
              </w:rPr>
              <w:t>w przypadku gdy deweloper nie zawrze umowy mieszkaniowego rachunku powierniczego z innym bankiem lub inną kasą w trybie i terminie, o których mowa w art. 10 ust. 1 Ustawy;</w:t>
            </w:r>
          </w:p>
          <w:p w14:paraId="5738AC66"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w przypadku gdy deweloper nie posiada zgody wierzyciela hipotecznego lub zobowiązania do jej udzielenia, o których mowa w art. 25 ust. 1 pkt 1;</w:t>
            </w:r>
          </w:p>
          <w:p w14:paraId="343AA2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niewykonania przez dewelopera obowiązku, o którym mowa w art. 12 ust. 2 Ustawy, w terminie określonym w tym przepisie;</w:t>
            </w:r>
          </w:p>
          <w:p w14:paraId="4881224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nieusunięcia przez dewelopera wady istotnej lokalu mieszkalnego na zasadach określonych w art. 41 ust. 11 Ustawy;</w:t>
            </w:r>
          </w:p>
          <w:p w14:paraId="1D0C781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w przypadku stwierdzenia przez rzeczoznawcę istnienia wady istotnej, o którym mowa w art. 41 ust. 15 Ustawy;</w:t>
            </w:r>
          </w:p>
          <w:p w14:paraId="0268386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jeżeli syndyk zażądał wykonania umowy na podstawie art. 98 ustawy z dnia 28 lutego 2003 r. – Prawo upadłościowe.</w:t>
            </w:r>
          </w:p>
          <w:p w14:paraId="73491279"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W przypadkach, o których mowa w ust. 1 pkt 1–5 powyżej, Nabywca ma prawo odstąpienia od umowy deweloperskiej w terminie 30 dni od dnia jej zawarcia.</w:t>
            </w:r>
          </w:p>
          <w:p w14:paraId="55568F3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W przypadku, o którym mowa w ust. 1 pkt 6 powyżej,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 której wysokość będzie równa wysokości odsetek ustawowych za opóźnienie liczonych od ceny,  od dnia, w którym upłynął termin na przeniesienie na Nabywcę praw wynikających z umowy deweloperskiej, do dnia odstąpienia od umowy deweloperskiej bądź przeniesienia na Nabywcę praw wynikających z umowy deweloperskiej.</w:t>
            </w:r>
          </w:p>
          <w:p w14:paraId="5299F12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W przypadku, o którym mowa w ust. 1 pkt 7 powyżej, Nabywca ma prawo odstąpienia od umowy deweloperskiej po dokonaniu przez bank lub kasę zwrotu środków zgodnie z art. 10 ust. 3 Ustawy.</w:t>
            </w:r>
          </w:p>
          <w:p w14:paraId="50D9CC91"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W przypadku, o którym mowa w ust. 1 pkt 8 powyżej, Nabywca ma prawo odstąpienia od umowy deweloperskiej w terminie 60 dni od dnia jej zawarcia.</w:t>
            </w:r>
          </w:p>
          <w:p w14:paraId="4E89AE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6. W przypadku, o którym mowa w ust. 1 pkt 9 powyżej, Nabywca ma prawo </w:t>
            </w:r>
            <w:r w:rsidRPr="00C844AC">
              <w:rPr>
                <w:rFonts w:ascii="Times New Roman" w:eastAsia="Times New Roman" w:hAnsi="Times New Roman" w:cs="Times New Roman"/>
                <w:sz w:val="20"/>
                <w:szCs w:val="20"/>
              </w:rPr>
              <w:lastRenderedPageBreak/>
              <w:t>odstąpienia od umowy deweloperskiej po upływie 60 dni od dnia podania do publicznej wiadomości informacji, o których mowa w art. 12 ust. 1 Ustawy.</w:t>
            </w:r>
          </w:p>
          <w:p w14:paraId="13008CB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1723AB2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Deweloper ma prawo odstąpić od umowy deweloperskiej w przypadku niestawienia się Nabywcy do odbioru lokalu mieszkalnego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4E69495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skorzystania przez Nabywcę z prawa odstąpienia, o którym mowa w art. 43 ust. 1 Ustawy, tj. ust. 1 powyżej, Nabywca nie jest zobowiązany do zapłaty jakiekolwiek sumy na rzecz dewelopera.</w:t>
            </w:r>
          </w:p>
          <w:p w14:paraId="382E559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skorzystania przez Nabywcę z prawa odstąpienia, o którym mowa w art. 43 ust. 1 Ustawy, tj. ust. 1 powyżej, umowa uważana jest za niezawartą, a Nabywca nie ponosi żadnych kosztów związanych z odstąpieniem od umowy.</w:t>
            </w:r>
          </w:p>
          <w:p w14:paraId="46AD1094"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Deweloper ma obowiązek niezwłocznie, jednak nie później niż w terminie 30 dni od dnia otrzymania oświadczenia Nabywcy o odstąpieniu od umowy, zwrócić nabywcy środki wypłacone deweloperowi przez bank lub kasę z otwartego mieszkaniowego rachunku powierniczego w związku z realizacją umowy deweloperskiej.</w:t>
            </w:r>
          </w:p>
          <w:p w14:paraId="1152816F"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w celu realizacji przez ten fundusz zwrotu wpłat Nabywców w przypadku określonym w art. 48 ust. 1 pkt 6 Ustawy, informację o wysokości środków zwróconych Nabywcy w związku z odstąpieniem przez niego od umowy i dacie dokonania zwrotu tych środków.</w:t>
            </w:r>
          </w:p>
          <w:p w14:paraId="253C2E15"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13. Oświadczenie woli Nabywcy o odstąpieniu od umowy deweloperskiej jest skuteczne, jeżeli zawiera zgodę na wykreślenie z księgi wieczystej odpowiednich roszczeń, o których mowa w art. 38 ust. 2 Ustawy, tj. </w:t>
            </w:r>
            <w:bookmarkStart w:id="1" w:name="_Hlk136421145"/>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 i jest złożone w formie pisemnej z podpisami notarialnie poświadczonymi</w:t>
            </w:r>
            <w:bookmarkEnd w:id="1"/>
            <w:r w:rsidRPr="00C844AC">
              <w:rPr>
                <w:rFonts w:ascii="Times New Roman" w:eastAsia="Times New Roman" w:hAnsi="Times New Roman" w:cs="Times New Roman"/>
                <w:sz w:val="20"/>
                <w:szCs w:val="20"/>
              </w:rPr>
              <w:t>.</w:t>
            </w:r>
          </w:p>
          <w:p w14:paraId="10C09C4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14. W przypadku odstąpienia od umowy deweloperskiej przez dewelopera na podstawie art. 43 ust. 7 lub 8 Ustawy, tj. ust. 7 lub 8 powyżej, Nabywca jest obowiązany wyrazić zgodę na wykreślenie z księgi wieczystej odpowiednich roszczeń, o których mowa w art. 38 ust. 2 Ustawy, tj. </w:t>
            </w:r>
            <w:bookmarkStart w:id="2" w:name="_Hlk136421202"/>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w:t>
            </w:r>
            <w:bookmarkEnd w:id="2"/>
            <w:r w:rsidRPr="00C844AC">
              <w:rPr>
                <w:rFonts w:ascii="Times New Roman" w:eastAsia="Times New Roman" w:hAnsi="Times New Roman" w:cs="Times New Roman"/>
                <w:sz w:val="20"/>
                <w:szCs w:val="20"/>
              </w:rPr>
              <w:t>.</w:t>
            </w:r>
          </w:p>
          <w:p w14:paraId="20BEE566"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15. W przypadku odstąpienia na podstawie art. 43  Ustawy od umowy deweloperskiej, tj. ust. 1 oraz 7 i 8 powyżej, przez jedną ze Stron, bank lub kasa wypłaca nabywcy przypadające mu środki pieniężne pozostałe na mieszkaniowym rachunku powierniczym w nominalnej wysokości niezwłocznie po otrzymaniu oświadczenia o odstąpieniu od umowy deweloperskiej.</w:t>
            </w:r>
          </w:p>
          <w:p w14:paraId="4339A4D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16. Postanowienia ust. 15 powyżej stosuje się odpowiednio w przypadku </w:t>
            </w:r>
            <w:r w:rsidRPr="00C844AC">
              <w:rPr>
                <w:rFonts w:ascii="Times New Roman" w:eastAsia="Times New Roman" w:hAnsi="Times New Roman" w:cs="Times New Roman"/>
                <w:sz w:val="20"/>
                <w:szCs w:val="20"/>
              </w:rPr>
              <w:lastRenderedPageBreak/>
              <w:t>odstąpienia od umowy deweloperskiej przez syndyka na podstawie art. 98 ustawy z dnia 28 lutego 2003 r. – Prawo upadłościowe lub przez zarządcę w trybie art. 298 ustawy z dnia 15 maja 2015 r. – Prawo restrukturyzacyjne.</w:t>
            </w:r>
          </w:p>
          <w:p w14:paraId="10B081A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17. W przypadku rozwiązania umowy deweloperskiej innego niż na podstawie art. 43 Ustawy, tj. ust. 1 oraz 7 i 8 powyżej,  Strony przedstawią zgodne oświadczenia woli o sposobie podziału środków pieniężnych zgromadzonych przez Nabywcę na mieszkaniowym rachunku powierniczym. Bank lub kasa wypłaca środki zgromadzone na mieszkaniowym rachunku powierniczym w nominalnej wysokości niezwłocznie po otrzymaniu oświadczeń, o których mowa powyżej.</w:t>
            </w:r>
          </w:p>
          <w:p w14:paraId="5E6B8B1C"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18. W przypadku odstąpienia od umowy deweloperskiej przez dewelopera na podstawie art. 43 ust. 7 lub 8 Ustawy, tj. ust. 7 lub 8 powyżej, deweloper niezwłocznie, jednak nie później niż w terminie 30 dni od dnia doręczenia Nabywcy oświadczenia o odstąpieniu od umowy, zwróci Nabywcy środki wypłacone deweloperowi przez bank lub kasę z otwartego mieszkaniowego rachunku powierniczego w związku z realizacją umowy deweloperskiej pomniejszone o ewentualne należne deweloperowi kary umowne lub odsetki.</w:t>
            </w:r>
          </w:p>
          <w:p w14:paraId="70A85144" w14:textId="5EC49307" w:rsidR="009327A6" w:rsidRPr="00DD7B98" w:rsidRDefault="00524D14" w:rsidP="00524D14">
            <w:pPr>
              <w:spacing w:beforeLines="60" w:before="144" w:afterLines="60" w:after="144" w:line="240" w:lineRule="auto"/>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19. W przypadku rozwiązania umowy deweloperskiej innego niż na podstawie art. 43 Ustawy, tj. ust. 1 oraz 7 i 8 powyżej,  deweloper niezwłocznie, jednak nie później niż w terminie 30 dni od dnia jej rozwiązania, zwróci Nabywcy środki wypłacone deweloperowi przez bank lub kasę z otwartego mieszkaniowego rachunku powierniczego w związku z realizacją umowy </w:t>
            </w:r>
            <w:r>
              <w:rPr>
                <w:rFonts w:ascii="Times New Roman" w:eastAsia="Times New Roman" w:hAnsi="Times New Roman" w:cs="Times New Roman"/>
                <w:sz w:val="20"/>
                <w:szCs w:val="20"/>
              </w:rPr>
              <w:t>deweloperskiej.</w:t>
            </w:r>
          </w:p>
        </w:tc>
      </w:tr>
      <w:tr w:rsidR="009327A6" w:rsidRPr="00DD7B98" w14:paraId="5AA8349C" w14:textId="77777777" w:rsidTr="00524D14">
        <w:trPr>
          <w:trHeight w:val="510"/>
        </w:trPr>
        <w:tc>
          <w:tcPr>
            <w:tcW w:w="9648" w:type="dxa"/>
            <w:gridSpan w:val="3"/>
            <w:tcBorders>
              <w:bottom w:val="single" w:sz="4" w:space="0" w:color="auto"/>
            </w:tcBorders>
            <w:shd w:val="clear" w:color="auto" w:fill="D9D9D9"/>
          </w:tcPr>
          <w:p w14:paraId="0826FC42" w14:textId="77777777" w:rsidR="009327A6" w:rsidRPr="00DD7B98" w:rsidRDefault="009327A6" w:rsidP="00D6706C">
            <w:pPr>
              <w:spacing w:beforeLines="60" w:before="144" w:afterLines="60" w:after="144" w:line="240" w:lineRule="auto"/>
              <w:jc w:val="both"/>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lastRenderedPageBreak/>
              <w:t xml:space="preserve">INNE INFORMACJE </w:t>
            </w:r>
          </w:p>
        </w:tc>
      </w:tr>
      <w:tr w:rsidR="009327A6" w:rsidRPr="00DD7B98" w14:paraId="403DAAE6" w14:textId="77777777" w:rsidTr="00524D14">
        <w:trPr>
          <w:trHeight w:val="1512"/>
        </w:trPr>
        <w:tc>
          <w:tcPr>
            <w:tcW w:w="9648" w:type="dxa"/>
            <w:gridSpan w:val="3"/>
            <w:tcBorders>
              <w:bottom w:val="single" w:sz="4" w:space="0" w:color="auto"/>
            </w:tcBorders>
            <w:shd w:val="clear" w:color="auto" w:fill="F3F3F3"/>
          </w:tcPr>
          <w:p w14:paraId="6DDA1A1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 Informacja:</w:t>
            </w:r>
          </w:p>
          <w:p w14:paraId="6328804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 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3CD46F5"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p w14:paraId="1527FCD3"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A1AD9A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 aktualnym stanem księgi wieczystej prowadzonej dla nieruchomości;</w:t>
            </w:r>
          </w:p>
          <w:p w14:paraId="331BF16C"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5209805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pozwoleniem na budowę albo zgłoszeniem budowy, o którym mowa w art. 29 ust. 1 pkt 1 ustawy z dnia 7 lipca 1994 r. – Prawo budowlane, do którego organ administracji architektoniczno-budowlanej nie wniósł sprzeciwu;</w:t>
            </w:r>
          </w:p>
          <w:p w14:paraId="518D8E1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sprawozdaniem finansowym dewelopera za ostatnie dwa lata, a w przypadku:</w:t>
            </w:r>
          </w:p>
          <w:p w14:paraId="3E90748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a) prowadzenia działalności przez okres krótszy niż dwa lata – sprawozdaniem finansowym za okres ostatniego</w:t>
            </w:r>
          </w:p>
          <w:p w14:paraId="46D2272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roku,</w:t>
            </w:r>
          </w:p>
          <w:p w14:paraId="0735803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b) realizacji inwestycji przez spółkę celową – sprawozdaniem spółki dominującej oraz spółki celowej;</w:t>
            </w:r>
          </w:p>
          <w:p w14:paraId="2A840D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projektem budowlanym;</w:t>
            </w:r>
          </w:p>
          <w:p w14:paraId="270F734F"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decyzją o pozwoleniu na użytkowanie budynku lub zawiadomieniem o zakończeniu budowy, do którego organ nadzoru budowlanego nie wniósł sprzeciwu;</w:t>
            </w:r>
          </w:p>
          <w:p w14:paraId="16C7764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zaświadczeniem o samodzielności lokalu;</w:t>
            </w:r>
          </w:p>
          <w:p w14:paraId="7D10DD0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aktem ustanowienia odrębnej własności lokalu;</w:t>
            </w:r>
          </w:p>
          <w:p w14:paraId="0AFB421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dokumentem potwierdzającym:</w:t>
            </w:r>
          </w:p>
          <w:p w14:paraId="64230DD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a) 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2FD71F1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b) 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p>
          <w:p w14:paraId="6AD0865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III. Informacja:</w:t>
            </w:r>
          </w:p>
          <w:p w14:paraId="5CBF1218" w14:textId="1214D7CF"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Środki pieniężne zgromadzone w Banku Spółdzielczym w Skierniewicach z siedzibą w Skierniewicach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926160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Informacje podstawowe o obowiązkowym systemie gwarantowania depozytów:</w:t>
            </w:r>
          </w:p>
          <w:p w14:paraId="35281FA7" w14:textId="431F0B22"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ochrona środków dotyczy sytuacji spełnienia warunku gwarancji wobec Banku Spółdzielczego w Skierniewicach z siedzibą w Skierniewicach [nazwa banku lub kasy prowadzących mieszkaniowy rachunek powierniczy],</w:t>
            </w:r>
          </w:p>
          <w:p w14:paraId="5F530EF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1072675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FF311E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7B02A59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 co do zasady – następuje w terminie 7 dni roboczych od dnia spełnienia warunku gwarancji wobec banku lub kasy,</w:t>
            </w:r>
          </w:p>
          <w:p w14:paraId="2F9716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jest dokonywana w złotych,</w:t>
            </w:r>
          </w:p>
          <w:p w14:paraId="524FB011" w14:textId="13A00163"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w:t>
            </w:r>
            <w:r w:rsidR="002653A6" w:rsidRPr="00C844AC">
              <w:rPr>
                <w:rFonts w:ascii="Times New Roman" w:eastAsia="Times New Roman" w:hAnsi="Times New Roman" w:cs="Times New Roman"/>
                <w:sz w:val="20"/>
                <w:szCs w:val="20"/>
              </w:rPr>
              <w:t xml:space="preserve">Bank Spółdzielczy w Skierniewicach z siedzibą w Skierniewicach </w:t>
            </w:r>
            <w:r w:rsidRPr="00C844AC">
              <w:rPr>
                <w:rFonts w:ascii="Times New Roman" w:eastAsia="Times New Roman" w:hAnsi="Times New Roman" w:cs="Times New Roman"/>
                <w:sz w:val="20"/>
                <w:szCs w:val="20"/>
              </w:rPr>
              <w:t>[nazwa banku lub kasy prowadzących mieszkaniowy rachunek powierniczy] korzysta także z następujących znaków towarowych: ...........................</w:t>
            </w:r>
          </w:p>
          <w:p w14:paraId="5622557D"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Dalsze informacje na temat systemu gwarantowania depozytów można uzyskać na stronie internetowej Bankowego Funduszu Gwarancyjnego: https://www.bfg.pl/.</w:t>
            </w:r>
          </w:p>
          <w:p w14:paraId="7E368A0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w:t>
            </w:r>
          </w:p>
          <w:p w14:paraId="13084B4E" w14:textId="54A119E6" w:rsidR="00524D14" w:rsidRPr="002653A6" w:rsidRDefault="00524D14" w:rsidP="002653A6">
            <w:pPr>
              <w:spacing w:beforeLines="60" w:before="144" w:afterLines="60" w:after="144" w:line="240" w:lineRule="auto"/>
              <w:ind w:left="313" w:hanging="313"/>
              <w:jc w:val="both"/>
              <w:rPr>
                <w:rFonts w:ascii="Times New Roman" w:eastAsia="Times New Roman" w:hAnsi="Times New Roman" w:cs="Times New Roman"/>
                <w:color w:val="FF0000"/>
                <w:sz w:val="20"/>
                <w:szCs w:val="20"/>
              </w:rPr>
            </w:pPr>
            <w:r w:rsidRPr="00C844AC">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57917999" w14:textId="77777777" w:rsidR="00A80C58" w:rsidRPr="00DD7B9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37BA0FCF" w14:textId="7F843151" w:rsidR="00EA1C22" w:rsidRDefault="00912F6A" w:rsidP="0069541E">
      <w:pPr>
        <w:spacing w:beforeLines="60" w:before="144" w:afterLines="60" w:after="144"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CZĘŚĆ INDYWIDUALNA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912F6A" w:rsidRPr="00DD7B98" w14:paraId="043A6412" w14:textId="77777777" w:rsidTr="00CA2D82">
        <w:trPr>
          <w:trHeight w:val="293"/>
        </w:trPr>
        <w:tc>
          <w:tcPr>
            <w:tcW w:w="2810" w:type="dxa"/>
            <w:shd w:val="clear" w:color="auto" w:fill="F3F3F3"/>
          </w:tcPr>
          <w:p w14:paraId="73EF67E0" w14:textId="0DAAD1F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lokalu mieszkalnego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domu jednorodzinnego</w:t>
            </w:r>
          </w:p>
        </w:tc>
        <w:tc>
          <w:tcPr>
            <w:tcW w:w="6838" w:type="dxa"/>
            <w:gridSpan w:val="2"/>
          </w:tcPr>
          <w:p w14:paraId="427100D9" w14:textId="317C3958"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0A820390" w14:textId="77777777" w:rsidTr="00CA2D82">
        <w:trPr>
          <w:trHeight w:val="488"/>
        </w:trPr>
        <w:tc>
          <w:tcPr>
            <w:tcW w:w="2810" w:type="dxa"/>
            <w:shd w:val="clear" w:color="auto" w:fill="F3F3F3"/>
          </w:tcPr>
          <w:p w14:paraId="4F1DB4D8" w14:textId="2C5096A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Powierzchnia użytkowa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41AFA60C" w14:textId="235B9E0F"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5FA41229" w14:textId="77777777" w:rsidTr="00CA2D82">
        <w:trPr>
          <w:trHeight w:val="292"/>
        </w:trPr>
        <w:tc>
          <w:tcPr>
            <w:tcW w:w="2810" w:type="dxa"/>
            <w:shd w:val="clear" w:color="auto" w:fill="F3F3F3"/>
          </w:tcPr>
          <w:p w14:paraId="38CF5FB0" w14:textId="22954101"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m</w:t>
            </w:r>
            <w:r w:rsidRPr="00912F6A">
              <w:rPr>
                <w:rFonts w:ascii="Times New Roman" w:eastAsia="Times New Roman" w:hAnsi="Times New Roman" w:cs="Times New Roman"/>
                <w:sz w:val="20"/>
                <w:szCs w:val="20"/>
                <w:vertAlign w:val="superscript"/>
              </w:rPr>
              <w:t>2</w:t>
            </w:r>
            <w:r w:rsidRPr="00912F6A">
              <w:rPr>
                <w:rFonts w:ascii="Times New Roman" w:eastAsia="Times New Roman" w:hAnsi="Times New Roman" w:cs="Times New Roman"/>
                <w:sz w:val="20"/>
                <w:szCs w:val="20"/>
              </w:rPr>
              <w:t xml:space="preserve"> powierzchni </w:t>
            </w:r>
            <w:r>
              <w:rPr>
                <w:rFonts w:ascii="Times New Roman" w:eastAsia="Times New Roman" w:hAnsi="Times New Roman" w:cs="Times New Roman"/>
                <w:sz w:val="20"/>
                <w:szCs w:val="20"/>
              </w:rPr>
              <w:t>u</w:t>
            </w:r>
            <w:r w:rsidRPr="00912F6A">
              <w:rPr>
                <w:rFonts w:ascii="Times New Roman" w:eastAsia="Times New Roman" w:hAnsi="Times New Roman" w:cs="Times New Roman"/>
                <w:sz w:val="20"/>
                <w:szCs w:val="20"/>
              </w:rPr>
              <w:t>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lokalu 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0696BB82" w14:textId="6E080E83"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33A6387B"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647BFD1D" w14:textId="534B150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przeniesienie prawa własności nieruchomości wynikającego z umowy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deweloperskiej lub jednej z umów,</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których mowa w art. 2 ust. 1 pkt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3 lub 5 lub ust.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6838" w:type="dxa"/>
            <w:gridSpan w:val="2"/>
            <w:tcBorders>
              <w:top w:val="single" w:sz="4" w:space="0" w:color="auto"/>
              <w:left w:val="single" w:sz="4" w:space="0" w:color="auto"/>
              <w:bottom w:val="single" w:sz="4" w:space="0" w:color="auto"/>
              <w:right w:val="single" w:sz="4" w:space="0" w:color="auto"/>
            </w:tcBorders>
          </w:tcPr>
          <w:p w14:paraId="03AA3454" w14:textId="448544D6" w:rsidR="00912F6A" w:rsidRPr="00015006" w:rsidRDefault="00B25155" w:rsidP="0069541E">
            <w:pPr>
              <w:spacing w:beforeLines="60" w:before="144" w:afterLines="60" w:after="144"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eastAsia="pl-PL"/>
              </w:rPr>
              <w:t>30.06.2027 r.</w:t>
            </w:r>
          </w:p>
        </w:tc>
      </w:tr>
      <w:tr w:rsidR="00912F6A" w:rsidRPr="00DD7B98" w14:paraId="4A706DF3" w14:textId="77777777" w:rsidTr="0003722F">
        <w:trPr>
          <w:trHeight w:val="570"/>
        </w:trPr>
        <w:tc>
          <w:tcPr>
            <w:tcW w:w="2810" w:type="dxa"/>
            <w:vMerge w:val="restart"/>
            <w:tcBorders>
              <w:top w:val="single" w:sz="4" w:space="0" w:color="auto"/>
              <w:left w:val="single" w:sz="4" w:space="0" w:color="auto"/>
              <w:right w:val="single" w:sz="4" w:space="0" w:color="auto"/>
            </w:tcBorders>
            <w:shd w:val="clear" w:color="auto" w:fill="F3F3F3"/>
          </w:tcPr>
          <w:p w14:paraId="0AD1A8D8" w14:textId="657C452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położenia oraz istotnych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cech domu jednorodzinnego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budynku, w którym ma znajdować</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lokal mieszkalny będący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przedmiotem umowy rezerwacyjnej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albo umowy deweloperskiej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jednej z umów, o których mowa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 art. 2 ust. 1 pkt 2, 3 lub 5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 2 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3419" w:type="dxa"/>
            <w:tcBorders>
              <w:top w:val="single" w:sz="4" w:space="0" w:color="auto"/>
              <w:left w:val="single" w:sz="4" w:space="0" w:color="auto"/>
              <w:bottom w:val="single" w:sz="4" w:space="0" w:color="auto"/>
              <w:right w:val="single" w:sz="4" w:space="0" w:color="auto"/>
            </w:tcBorders>
          </w:tcPr>
          <w:p w14:paraId="4F7B84C5" w14:textId="6EA7A354"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kondygnacji</w:t>
            </w:r>
          </w:p>
        </w:tc>
        <w:tc>
          <w:tcPr>
            <w:tcW w:w="3419" w:type="dxa"/>
            <w:tcBorders>
              <w:top w:val="single" w:sz="4" w:space="0" w:color="auto"/>
              <w:left w:val="single" w:sz="4" w:space="0" w:color="auto"/>
              <w:bottom w:val="single" w:sz="4" w:space="0" w:color="auto"/>
              <w:right w:val="single" w:sz="4" w:space="0" w:color="auto"/>
            </w:tcBorders>
          </w:tcPr>
          <w:p w14:paraId="28471800" w14:textId="5252FD13" w:rsidR="00912F6A" w:rsidRPr="00015006"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II</w:t>
            </w:r>
          </w:p>
        </w:tc>
      </w:tr>
      <w:tr w:rsidR="00912F6A" w:rsidRPr="00DD7B98" w14:paraId="4E5288F8" w14:textId="77777777" w:rsidTr="0003722F">
        <w:trPr>
          <w:trHeight w:val="567"/>
        </w:trPr>
        <w:tc>
          <w:tcPr>
            <w:tcW w:w="2810" w:type="dxa"/>
            <w:vMerge/>
            <w:tcBorders>
              <w:left w:val="single" w:sz="4" w:space="0" w:color="auto"/>
              <w:right w:val="single" w:sz="4" w:space="0" w:color="auto"/>
            </w:tcBorders>
            <w:shd w:val="clear" w:color="auto" w:fill="F3F3F3"/>
          </w:tcPr>
          <w:p w14:paraId="69286BE8"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324C8E9" w14:textId="082FFF79"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Technologia wykonania</w:t>
            </w:r>
          </w:p>
        </w:tc>
        <w:tc>
          <w:tcPr>
            <w:tcW w:w="3419" w:type="dxa"/>
            <w:tcBorders>
              <w:top w:val="single" w:sz="4" w:space="0" w:color="auto"/>
              <w:left w:val="single" w:sz="4" w:space="0" w:color="auto"/>
              <w:bottom w:val="single" w:sz="4" w:space="0" w:color="auto"/>
              <w:right w:val="single" w:sz="4" w:space="0" w:color="auto"/>
            </w:tcBorders>
          </w:tcPr>
          <w:p w14:paraId="4EC09CF7" w14:textId="26B30C80" w:rsidR="00912F6A" w:rsidRPr="00DD7B98" w:rsidRDefault="003754A7"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7A3779D4" w14:textId="77777777" w:rsidTr="00496E5F">
        <w:trPr>
          <w:trHeight w:val="1633"/>
        </w:trPr>
        <w:tc>
          <w:tcPr>
            <w:tcW w:w="2810" w:type="dxa"/>
            <w:vMerge/>
            <w:tcBorders>
              <w:left w:val="single" w:sz="4" w:space="0" w:color="auto"/>
              <w:right w:val="single" w:sz="4" w:space="0" w:color="auto"/>
            </w:tcBorders>
            <w:shd w:val="clear" w:color="auto" w:fill="F3F3F3"/>
          </w:tcPr>
          <w:p w14:paraId="4F5D78BF"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1464FD6" w14:textId="6799EF23"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Standard prac wykończeniowych w</w:t>
            </w:r>
            <w:r w:rsidR="00273AB4" w:rsidRPr="00015006">
              <w:rPr>
                <w:rFonts w:ascii="Times New Roman" w:eastAsia="Times New Roman" w:hAnsi="Times New Roman" w:cs="Times New Roman"/>
                <w:sz w:val="20"/>
                <w:szCs w:val="20"/>
              </w:rPr>
              <w:t> </w:t>
            </w:r>
            <w:r w:rsidRPr="00015006">
              <w:rPr>
                <w:rFonts w:ascii="Times New Roman" w:eastAsia="Times New Roman" w:hAnsi="Times New Roman" w:cs="Times New Roman"/>
                <w:sz w:val="20"/>
                <w:szCs w:val="20"/>
              </w:rPr>
              <w:t>części wspólnej budynku i terenie wokół niego, stanowiącym część wspólną nieruchomości</w:t>
            </w:r>
          </w:p>
        </w:tc>
        <w:tc>
          <w:tcPr>
            <w:tcW w:w="3419" w:type="dxa"/>
            <w:tcBorders>
              <w:top w:val="single" w:sz="4" w:space="0" w:color="auto"/>
              <w:left w:val="single" w:sz="4" w:space="0" w:color="auto"/>
              <w:bottom w:val="single" w:sz="4" w:space="0" w:color="auto"/>
              <w:right w:val="single" w:sz="4" w:space="0" w:color="auto"/>
            </w:tcBorders>
          </w:tcPr>
          <w:p w14:paraId="4FEE0B61" w14:textId="09444A80" w:rsidR="00912F6A" w:rsidRPr="00015006" w:rsidRDefault="00C844AC" w:rsidP="00B953C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Załącznik nr 4 – Technologia wykonania oraz standard prac wykończeniowych lokalu oraz części wspólnej budynków i terenie wokół nich, stanowiącym część wspólną nieruchomości.</w:t>
            </w:r>
          </w:p>
        </w:tc>
      </w:tr>
      <w:tr w:rsidR="00912F6A" w:rsidRPr="00DD7B98" w14:paraId="59DFF623" w14:textId="77777777" w:rsidTr="0003722F">
        <w:trPr>
          <w:trHeight w:val="567"/>
        </w:trPr>
        <w:tc>
          <w:tcPr>
            <w:tcW w:w="2810" w:type="dxa"/>
            <w:vMerge/>
            <w:tcBorders>
              <w:left w:val="single" w:sz="4" w:space="0" w:color="auto"/>
              <w:right w:val="single" w:sz="4" w:space="0" w:color="auto"/>
            </w:tcBorders>
            <w:shd w:val="clear" w:color="auto" w:fill="F3F3F3"/>
          </w:tcPr>
          <w:p w14:paraId="3D49A1F1"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5FEC1DD4" w14:textId="4D64FBE0"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lokali w budynku</w:t>
            </w:r>
          </w:p>
        </w:tc>
        <w:tc>
          <w:tcPr>
            <w:tcW w:w="3419" w:type="dxa"/>
            <w:tcBorders>
              <w:top w:val="single" w:sz="4" w:space="0" w:color="auto"/>
              <w:left w:val="single" w:sz="4" w:space="0" w:color="auto"/>
              <w:bottom w:val="single" w:sz="4" w:space="0" w:color="auto"/>
              <w:right w:val="single" w:sz="4" w:space="0" w:color="auto"/>
            </w:tcBorders>
          </w:tcPr>
          <w:p w14:paraId="4CD671FE" w14:textId="6B3A1BD6" w:rsidR="00912F6A" w:rsidRPr="00015006" w:rsidRDefault="00496E5F" w:rsidP="00B953C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W</w:t>
            </w:r>
            <w:r w:rsidR="00B953CB" w:rsidRPr="00015006">
              <w:rPr>
                <w:rFonts w:ascii="Times New Roman" w:eastAsia="Times New Roman" w:hAnsi="Times New Roman" w:cs="Times New Roman"/>
                <w:bCs/>
                <w:sz w:val="20"/>
                <w:szCs w:val="20"/>
                <w:lang w:eastAsia="pl-PL"/>
              </w:rPr>
              <w:t xml:space="preserve"> każdym z</w:t>
            </w:r>
            <w:r w:rsidRPr="00015006">
              <w:rPr>
                <w:rFonts w:ascii="Times New Roman" w:eastAsia="Times New Roman" w:hAnsi="Times New Roman" w:cs="Times New Roman"/>
                <w:bCs/>
                <w:sz w:val="20"/>
                <w:szCs w:val="20"/>
                <w:lang w:eastAsia="pl-PL"/>
              </w:rPr>
              <w:t xml:space="preserve"> budynk</w:t>
            </w:r>
            <w:r w:rsidR="00B953CB" w:rsidRPr="00015006">
              <w:rPr>
                <w:rFonts w:ascii="Times New Roman" w:eastAsia="Times New Roman" w:hAnsi="Times New Roman" w:cs="Times New Roman"/>
                <w:bCs/>
                <w:sz w:val="20"/>
                <w:szCs w:val="20"/>
                <w:lang w:eastAsia="pl-PL"/>
              </w:rPr>
              <w:t>ów</w:t>
            </w:r>
            <w:r w:rsidRPr="00015006">
              <w:rPr>
                <w:rFonts w:ascii="Times New Roman" w:eastAsia="Times New Roman" w:hAnsi="Times New Roman" w:cs="Times New Roman"/>
                <w:bCs/>
                <w:sz w:val="20"/>
                <w:szCs w:val="20"/>
                <w:lang w:eastAsia="pl-PL"/>
              </w:rPr>
              <w:t xml:space="preserve"> będą znajdowały się 2 lokale mieszkalne.</w:t>
            </w:r>
          </w:p>
        </w:tc>
      </w:tr>
      <w:tr w:rsidR="00912F6A" w:rsidRPr="00DD7B98" w14:paraId="6EA2A487" w14:textId="77777777" w:rsidTr="0003722F">
        <w:trPr>
          <w:trHeight w:val="567"/>
        </w:trPr>
        <w:tc>
          <w:tcPr>
            <w:tcW w:w="2810" w:type="dxa"/>
            <w:vMerge/>
            <w:tcBorders>
              <w:left w:val="single" w:sz="4" w:space="0" w:color="auto"/>
              <w:right w:val="single" w:sz="4" w:space="0" w:color="auto"/>
            </w:tcBorders>
            <w:shd w:val="clear" w:color="auto" w:fill="F3F3F3"/>
          </w:tcPr>
          <w:p w14:paraId="7FF286E2"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0B35F575" w14:textId="69200976"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miejsc garażowych i</w:t>
            </w:r>
            <w:r w:rsidR="00273AB4" w:rsidRPr="00015006">
              <w:rPr>
                <w:rFonts w:ascii="Times New Roman" w:eastAsia="Times New Roman" w:hAnsi="Times New Roman" w:cs="Times New Roman"/>
                <w:sz w:val="20"/>
                <w:szCs w:val="20"/>
              </w:rPr>
              <w:t> </w:t>
            </w:r>
            <w:r w:rsidRPr="00015006">
              <w:rPr>
                <w:rFonts w:ascii="Times New Roman" w:eastAsia="Times New Roman" w:hAnsi="Times New Roman" w:cs="Times New Roman"/>
                <w:sz w:val="20"/>
                <w:szCs w:val="20"/>
              </w:rPr>
              <w:t>postojowych</w:t>
            </w:r>
          </w:p>
        </w:tc>
        <w:tc>
          <w:tcPr>
            <w:tcW w:w="3419" w:type="dxa"/>
            <w:tcBorders>
              <w:top w:val="single" w:sz="4" w:space="0" w:color="auto"/>
              <w:left w:val="single" w:sz="4" w:space="0" w:color="auto"/>
              <w:bottom w:val="single" w:sz="4" w:space="0" w:color="auto"/>
              <w:right w:val="single" w:sz="4" w:space="0" w:color="auto"/>
            </w:tcBorders>
          </w:tcPr>
          <w:p w14:paraId="162D9B11" w14:textId="674736BE" w:rsidR="00912F6A" w:rsidRPr="00015006" w:rsidRDefault="00EC7FB7"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 xml:space="preserve">1 </w:t>
            </w:r>
            <w:r w:rsidR="00496E5F" w:rsidRPr="00015006">
              <w:rPr>
                <w:rFonts w:ascii="Times New Roman" w:eastAsia="Times New Roman" w:hAnsi="Times New Roman" w:cs="Times New Roman"/>
                <w:bCs/>
                <w:sz w:val="20"/>
                <w:szCs w:val="20"/>
                <w:lang w:eastAsia="pl-PL"/>
              </w:rPr>
              <w:t>na każdy z lokali.</w:t>
            </w:r>
          </w:p>
        </w:tc>
      </w:tr>
      <w:tr w:rsidR="00912F6A" w:rsidRPr="00DD7B98" w14:paraId="2982B7E3" w14:textId="77777777" w:rsidTr="0003722F">
        <w:trPr>
          <w:trHeight w:val="567"/>
        </w:trPr>
        <w:tc>
          <w:tcPr>
            <w:tcW w:w="2810" w:type="dxa"/>
            <w:vMerge/>
            <w:tcBorders>
              <w:left w:val="single" w:sz="4" w:space="0" w:color="auto"/>
              <w:right w:val="single" w:sz="4" w:space="0" w:color="auto"/>
            </w:tcBorders>
            <w:shd w:val="clear" w:color="auto" w:fill="F3F3F3"/>
          </w:tcPr>
          <w:p w14:paraId="708EC893"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45CFCEEB" w14:textId="67AEB655"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Dostępne media w budynku</w:t>
            </w:r>
          </w:p>
        </w:tc>
        <w:tc>
          <w:tcPr>
            <w:tcW w:w="3419" w:type="dxa"/>
            <w:tcBorders>
              <w:top w:val="single" w:sz="4" w:space="0" w:color="auto"/>
              <w:left w:val="single" w:sz="4" w:space="0" w:color="auto"/>
              <w:bottom w:val="single" w:sz="4" w:space="0" w:color="auto"/>
              <w:right w:val="single" w:sz="4" w:space="0" w:color="auto"/>
            </w:tcBorders>
          </w:tcPr>
          <w:p w14:paraId="30B1A138" w14:textId="02DA4189" w:rsidR="00912F6A" w:rsidRPr="00015006"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Woda, kanalizacja, prąd</w:t>
            </w:r>
            <w:r w:rsidR="008061AB" w:rsidRPr="00015006">
              <w:rPr>
                <w:rFonts w:ascii="Times New Roman" w:eastAsia="Times New Roman" w:hAnsi="Times New Roman" w:cs="Times New Roman"/>
                <w:bCs/>
                <w:sz w:val="20"/>
                <w:szCs w:val="20"/>
                <w:lang w:eastAsia="pl-PL"/>
              </w:rPr>
              <w:t>, gaz.</w:t>
            </w:r>
          </w:p>
        </w:tc>
      </w:tr>
      <w:tr w:rsidR="00912F6A" w:rsidRPr="00DD7B98" w14:paraId="3296D299" w14:textId="77777777" w:rsidTr="0003722F">
        <w:trPr>
          <w:trHeight w:val="567"/>
        </w:trPr>
        <w:tc>
          <w:tcPr>
            <w:tcW w:w="2810" w:type="dxa"/>
            <w:vMerge/>
            <w:tcBorders>
              <w:left w:val="single" w:sz="4" w:space="0" w:color="auto"/>
              <w:bottom w:val="single" w:sz="4" w:space="0" w:color="auto"/>
              <w:right w:val="single" w:sz="4" w:space="0" w:color="auto"/>
            </w:tcBorders>
            <w:shd w:val="clear" w:color="auto" w:fill="F3F3F3"/>
          </w:tcPr>
          <w:p w14:paraId="16D55170"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733526C3" w14:textId="056589C2"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Dostęp do drogi publicznej</w:t>
            </w:r>
          </w:p>
        </w:tc>
        <w:tc>
          <w:tcPr>
            <w:tcW w:w="3419" w:type="dxa"/>
            <w:tcBorders>
              <w:top w:val="single" w:sz="4" w:space="0" w:color="auto"/>
              <w:left w:val="single" w:sz="4" w:space="0" w:color="auto"/>
              <w:bottom w:val="single" w:sz="4" w:space="0" w:color="auto"/>
              <w:right w:val="single" w:sz="4" w:space="0" w:color="auto"/>
            </w:tcBorders>
          </w:tcPr>
          <w:p w14:paraId="10A20497" w14:textId="2F8AD25A" w:rsidR="002B3137" w:rsidRPr="00015006" w:rsidRDefault="00C844AC" w:rsidP="008061A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Bezpośredni do ul. Wiejskiej.</w:t>
            </w:r>
          </w:p>
        </w:tc>
      </w:tr>
      <w:tr w:rsidR="00912F6A" w:rsidRPr="00DD7B98" w14:paraId="58BAFBA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5636D4B9" w14:textId="150FDC3C" w:rsidR="00912F6A" w:rsidRPr="005D648F" w:rsidRDefault="00912F6A" w:rsidP="0069541E">
            <w:pPr>
              <w:spacing w:beforeLines="60" w:before="144" w:afterLines="60" w:after="144" w:line="240" w:lineRule="auto"/>
              <w:rPr>
                <w:rFonts w:ascii="Times New Roman" w:eastAsia="Times New Roman" w:hAnsi="Times New Roman" w:cs="Times New Roman"/>
                <w:sz w:val="20"/>
                <w:szCs w:val="20"/>
              </w:rPr>
            </w:pPr>
            <w:r w:rsidRPr="005D648F">
              <w:rPr>
                <w:rFonts w:ascii="Times New Roman" w:eastAsia="Times New Roman" w:hAnsi="Times New Roman" w:cs="Times New Roman"/>
                <w:sz w:val="20"/>
                <w:szCs w:val="20"/>
              </w:rPr>
              <w:t>Określenie usytuowania lokalu mieszkalnego w budynku, jeżeli przedsięwzięcie deweloperskie lub zadanie inwestycyjne dotyczy lokali mieszkalnych</w:t>
            </w:r>
          </w:p>
        </w:tc>
        <w:tc>
          <w:tcPr>
            <w:tcW w:w="6838" w:type="dxa"/>
            <w:gridSpan w:val="2"/>
            <w:tcBorders>
              <w:top w:val="single" w:sz="4" w:space="0" w:color="auto"/>
              <w:left w:val="single" w:sz="4" w:space="0" w:color="auto"/>
              <w:bottom w:val="single" w:sz="4" w:space="0" w:color="auto"/>
              <w:right w:val="single" w:sz="4" w:space="0" w:color="auto"/>
            </w:tcBorders>
          </w:tcPr>
          <w:p w14:paraId="108BA80F" w14:textId="3083C444" w:rsidR="00912F6A" w:rsidRPr="005D648F"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5D648F">
              <w:rPr>
                <w:rFonts w:ascii="Times New Roman" w:eastAsia="Times New Roman" w:hAnsi="Times New Roman" w:cs="Times New Roman"/>
                <w:bCs/>
                <w:sz w:val="20"/>
                <w:szCs w:val="20"/>
                <w:lang w:eastAsia="pl-PL"/>
              </w:rPr>
              <w:t>Załącznik nr 1</w:t>
            </w:r>
            <w:r w:rsidR="00565240">
              <w:rPr>
                <w:rFonts w:ascii="Times New Roman" w:eastAsia="Times New Roman" w:hAnsi="Times New Roman" w:cs="Times New Roman"/>
                <w:bCs/>
                <w:sz w:val="20"/>
                <w:szCs w:val="20"/>
                <w:lang w:eastAsia="pl-PL"/>
              </w:rPr>
              <w:t xml:space="preserve"> – </w:t>
            </w:r>
            <w:r w:rsidRPr="005D648F">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sidRPr="005D648F">
              <w:rPr>
                <w:rFonts w:ascii="Times New Roman" w:eastAsia="Times New Roman" w:hAnsi="Times New Roman" w:cs="Times New Roman"/>
                <w:bCs/>
                <w:sz w:val="20"/>
                <w:szCs w:val="20"/>
                <w:lang w:eastAsia="pl-PL"/>
              </w:rPr>
              <w:t>y kondygnacji z zaznaczeniem lokalu mieszkalnego.</w:t>
            </w:r>
          </w:p>
        </w:tc>
      </w:tr>
      <w:tr w:rsidR="00912F6A" w:rsidRPr="00DD7B98" w14:paraId="342F6C4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855E67B" w14:textId="73CD817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powierzchni użytkowej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układu pomieszczeń oraz zakresu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standardu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 których wykonania zobowiązuje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deweloper</w:t>
            </w:r>
          </w:p>
        </w:tc>
        <w:tc>
          <w:tcPr>
            <w:tcW w:w="6838" w:type="dxa"/>
            <w:gridSpan w:val="2"/>
            <w:tcBorders>
              <w:top w:val="single" w:sz="4" w:space="0" w:color="auto"/>
              <w:left w:val="single" w:sz="4" w:space="0" w:color="auto"/>
              <w:bottom w:val="single" w:sz="4" w:space="0" w:color="auto"/>
              <w:right w:val="single" w:sz="4" w:space="0" w:color="auto"/>
            </w:tcBorders>
          </w:tcPr>
          <w:p w14:paraId="0C773137" w14:textId="4A0D3ACC" w:rsidR="00496E5F" w:rsidRDefault="00496E5F" w:rsidP="00496E5F">
            <w:pPr>
              <w:pStyle w:val="Standard"/>
              <w:spacing w:before="144" w:after="144"/>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Załącznik nr 1</w:t>
            </w:r>
            <w:r w:rsidR="00C844AC">
              <w:rPr>
                <w:rFonts w:ascii="Times New Roman" w:eastAsia="Times New Roman" w:hAnsi="Times New Roman" w:cs="Times New Roman"/>
                <w:bCs/>
                <w:sz w:val="20"/>
                <w:szCs w:val="20"/>
                <w:lang w:eastAsia="pl-PL"/>
              </w:rPr>
              <w:t xml:space="preserve"> – </w:t>
            </w:r>
            <w:r>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p>
          <w:p w14:paraId="3277ACDD" w14:textId="434625ED" w:rsidR="00912F6A" w:rsidRPr="00DD7B98" w:rsidRDefault="00496E5F" w:rsidP="00496E5F">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00C844AC"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00C844AC"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00C844AC"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49E69AEF"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A58EEE1" w14:textId="3251916E"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wydania zaświadczenia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samodzielności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w:t>
            </w:r>
          </w:p>
        </w:tc>
        <w:tc>
          <w:tcPr>
            <w:tcW w:w="6838" w:type="dxa"/>
            <w:gridSpan w:val="2"/>
            <w:tcBorders>
              <w:top w:val="single" w:sz="4" w:space="0" w:color="auto"/>
              <w:left w:val="single" w:sz="4" w:space="0" w:color="auto"/>
              <w:bottom w:val="single" w:sz="4" w:space="0" w:color="auto"/>
              <w:right w:val="single" w:sz="4" w:space="0" w:color="auto"/>
            </w:tcBorders>
          </w:tcPr>
          <w:p w14:paraId="60D0EB7A" w14:textId="5777A1FE"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2BEC8F27"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ED2A714" w14:textId="39A2760F"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ustanowienia odrębnej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mieszkalnego</w:t>
            </w:r>
          </w:p>
        </w:tc>
        <w:tc>
          <w:tcPr>
            <w:tcW w:w="6838" w:type="dxa"/>
            <w:gridSpan w:val="2"/>
            <w:tcBorders>
              <w:top w:val="single" w:sz="4" w:space="0" w:color="auto"/>
              <w:left w:val="single" w:sz="4" w:space="0" w:color="auto"/>
              <w:bottom w:val="single" w:sz="4" w:space="0" w:color="auto"/>
              <w:right w:val="single" w:sz="4" w:space="0" w:color="auto"/>
            </w:tcBorders>
          </w:tcPr>
          <w:p w14:paraId="62608574" w14:textId="1F2B8EB9"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56762A6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D3CA71B" w14:textId="7574D02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Informacje o lokalu użytkowym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nabywanym równocześnie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z lokalem mieszkalnym albo domem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jednorodzinnym</w:t>
            </w:r>
          </w:p>
        </w:tc>
        <w:tc>
          <w:tcPr>
            <w:tcW w:w="6838" w:type="dxa"/>
            <w:gridSpan w:val="2"/>
            <w:tcBorders>
              <w:top w:val="single" w:sz="4" w:space="0" w:color="auto"/>
              <w:left w:val="single" w:sz="4" w:space="0" w:color="auto"/>
              <w:bottom w:val="single" w:sz="4" w:space="0" w:color="auto"/>
              <w:right w:val="single" w:sz="4" w:space="0" w:color="auto"/>
            </w:tcBorders>
          </w:tcPr>
          <w:p w14:paraId="0AE38BC8" w14:textId="0CD21234"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C39813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0E44CA52" w14:textId="6C2D1B40"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w:t>
            </w:r>
            <w:r w:rsidR="00A909E7">
              <w:rPr>
                <w:rFonts w:ascii="Times New Roman" w:eastAsia="Times New Roman" w:hAnsi="Times New Roman" w:cs="Times New Roman"/>
                <w:sz w:val="20"/>
                <w:szCs w:val="20"/>
              </w:rPr>
              <w:t>a</w:t>
            </w:r>
            <w:r w:rsidRPr="00912F6A">
              <w:rPr>
                <w:rFonts w:ascii="Times New Roman" w:eastAsia="Times New Roman" w:hAnsi="Times New Roman" w:cs="Times New Roman"/>
                <w:sz w:val="20"/>
                <w:szCs w:val="20"/>
              </w:rPr>
              <w:t xml:space="preserve"> lokalu użytkowego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ułamkowej części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w:t>
            </w:r>
          </w:p>
        </w:tc>
        <w:tc>
          <w:tcPr>
            <w:tcW w:w="6838" w:type="dxa"/>
            <w:gridSpan w:val="2"/>
            <w:tcBorders>
              <w:top w:val="single" w:sz="4" w:space="0" w:color="auto"/>
              <w:left w:val="single" w:sz="4" w:space="0" w:color="auto"/>
              <w:bottom w:val="single" w:sz="4" w:space="0" w:color="auto"/>
              <w:right w:val="single" w:sz="4" w:space="0" w:color="auto"/>
            </w:tcBorders>
          </w:tcPr>
          <w:p w14:paraId="001261AB" w14:textId="6DCC2026"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44E857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51FC9C5" w14:textId="2589AE4C"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 przeniesienie prawa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 albo ułamkowej części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użytkowego</w:t>
            </w:r>
          </w:p>
        </w:tc>
        <w:tc>
          <w:tcPr>
            <w:tcW w:w="6838" w:type="dxa"/>
            <w:gridSpan w:val="2"/>
            <w:tcBorders>
              <w:top w:val="single" w:sz="4" w:space="0" w:color="auto"/>
              <w:left w:val="single" w:sz="4" w:space="0" w:color="auto"/>
              <w:bottom w:val="single" w:sz="4" w:space="0" w:color="auto"/>
              <w:right w:val="single" w:sz="4" w:space="0" w:color="auto"/>
            </w:tcBorders>
          </w:tcPr>
          <w:p w14:paraId="4F8C4C0E" w14:textId="6903346B"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bl>
    <w:p w14:paraId="013923E9"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4C3AF251"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Podpis dewelopera albo osoby upoważnionej do reprezentacji dewelopera</w:t>
      </w:r>
    </w:p>
    <w:p w14:paraId="16D47008"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0D64F1AE" w14:textId="66F55C7C"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w:t>
      </w:r>
    </w:p>
    <w:p w14:paraId="4295790E" w14:textId="488FCD96" w:rsidR="00F7371C" w:rsidRDefault="008C1CDB" w:rsidP="00F7371C">
      <w:pPr>
        <w:spacing w:beforeLines="50" w:before="120" w:afterLines="50"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eastAsia="pl-PL"/>
        </w:rPr>
        <mc:AlternateContent>
          <mc:Choice Requires="wps">
            <w:drawing>
              <wp:anchor distT="0" distB="0" distL="114300" distR="114300" simplePos="0" relativeHeight="251659264" behindDoc="0" locked="0" layoutInCell="1" allowOverlap="1" wp14:anchorId="4FCECE4E" wp14:editId="3D86BF56">
                <wp:simplePos x="0" y="0"/>
                <wp:positionH relativeFrom="column">
                  <wp:posOffset>-635</wp:posOffset>
                </wp:positionH>
                <wp:positionV relativeFrom="paragraph">
                  <wp:posOffset>60325</wp:posOffset>
                </wp:positionV>
                <wp:extent cx="5974080" cy="7620"/>
                <wp:effectExtent l="19050" t="19050" r="26670" b="30480"/>
                <wp:wrapNone/>
                <wp:docPr id="1" name="Łącznik prosty 1"/>
                <wp:cNvGraphicFramePr/>
                <a:graphic xmlns:a="http://schemas.openxmlformats.org/drawingml/2006/main">
                  <a:graphicData uri="http://schemas.microsoft.com/office/word/2010/wordprocessingShape">
                    <wps:wsp>
                      <wps:cNvCnPr/>
                      <wps:spPr>
                        <a:xfrm flipV="1">
                          <a:off x="0" y="0"/>
                          <a:ext cx="5974080" cy="76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B51FD"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4.75pt" to="470.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" strokecolor="black [3200]" strokeweight="2.25pt">
                <v:stroke joinstyle="miter"/>
              </v:line>
            </w:pict>
          </mc:Fallback>
        </mc:AlternateContent>
      </w:r>
    </w:p>
    <w:p w14:paraId="6461A642" w14:textId="77777777" w:rsidR="00496E5F" w:rsidRDefault="00496E5F" w:rsidP="00496E5F">
      <w:pPr>
        <w:pStyle w:val="Standard"/>
        <w:spacing w:before="144" w:after="144"/>
        <w:jc w:val="both"/>
      </w:pPr>
      <w:r>
        <w:rPr>
          <w:rFonts w:ascii="Times New Roman" w:eastAsia="Times New Roman" w:hAnsi="Times New Roman" w:cs="Times New Roman"/>
          <w:b/>
          <w:sz w:val="20"/>
          <w:szCs w:val="20"/>
        </w:rPr>
        <w:t>Załączniki:</w:t>
      </w:r>
    </w:p>
    <w:p w14:paraId="11342FB6" w14:textId="789572A2" w:rsidR="00496E5F" w:rsidRDefault="00496E5F" w:rsidP="00496E5F">
      <w:pPr>
        <w:pStyle w:val="Standard"/>
        <w:spacing w:before="144" w:after="144"/>
        <w:jc w:val="both"/>
      </w:pPr>
      <w:bookmarkStart w:id="3" w:name="_Hlk146626009"/>
      <w:r>
        <w:rPr>
          <w:rFonts w:ascii="Times New Roman" w:eastAsia="Times New Roman" w:hAnsi="Times New Roman" w:cs="Times New Roman"/>
          <w:sz w:val="20"/>
          <w:szCs w:val="20"/>
        </w:rPr>
        <w:t xml:space="preserve">1. </w:t>
      </w:r>
      <w:bookmarkStart w:id="4" w:name="_Hlk136421370"/>
      <w:r>
        <w:rPr>
          <w:rFonts w:ascii="Times New Roman" w:eastAsia="Times New Roman" w:hAnsi="Times New Roman" w:cs="Times New Roman"/>
          <w:bCs/>
          <w:sz w:val="20"/>
          <w:szCs w:val="20"/>
          <w:lang w:eastAsia="pl-PL"/>
        </w:rPr>
        <w:t>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bookmarkEnd w:id="4"/>
      <w:r>
        <w:rPr>
          <w:rFonts w:ascii="Times New Roman" w:eastAsia="Times New Roman" w:hAnsi="Times New Roman" w:cs="Times New Roman"/>
          <w:bCs/>
          <w:sz w:val="20"/>
          <w:szCs w:val="20"/>
          <w:lang w:eastAsia="pl-PL"/>
        </w:rPr>
        <w:t>.</w:t>
      </w:r>
    </w:p>
    <w:p w14:paraId="1A171BA8" w14:textId="77777777" w:rsidR="00496E5F" w:rsidRDefault="00496E5F" w:rsidP="00496E5F">
      <w:pPr>
        <w:pStyle w:val="Standard"/>
        <w:spacing w:before="144" w:after="144"/>
        <w:jc w:val="both"/>
      </w:pPr>
      <w:r>
        <w:rPr>
          <w:rFonts w:ascii="Times New Roman" w:eastAsia="Times New Roman" w:hAnsi="Times New Roman" w:cs="Times New Roman"/>
          <w:sz w:val="20"/>
          <w:szCs w:val="20"/>
        </w:rPr>
        <w:t>2. Wzór umowy deweloperskiej.</w:t>
      </w:r>
    </w:p>
    <w:p w14:paraId="038CBAE6" w14:textId="3D9DFA77" w:rsidR="00496E5F" w:rsidRDefault="00496E5F" w:rsidP="00496E5F">
      <w:pPr>
        <w:pStyle w:val="Standard"/>
        <w:spacing w:before="144" w:after="144"/>
        <w:jc w:val="both"/>
      </w:pPr>
      <w:r>
        <w:rPr>
          <w:rFonts w:ascii="Times New Roman" w:eastAsia="Times New Roman" w:hAnsi="Times New Roman" w:cs="Times New Roman"/>
          <w:sz w:val="20"/>
          <w:szCs w:val="20"/>
        </w:rPr>
        <w:lastRenderedPageBreak/>
        <w:t>3. Szkic koncepcji zagospodarowania terenu inwestycji i jego otoczenia z zaznaczeniem budynk</w:t>
      </w:r>
      <w:r w:rsidR="003754A7">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p w14:paraId="150321DE" w14:textId="731EBF83" w:rsidR="00F7371C" w:rsidRPr="00496E5F" w:rsidRDefault="00496E5F" w:rsidP="00496E5F">
      <w:pPr>
        <w:pStyle w:val="Standard"/>
        <w:jc w:val="both"/>
      </w:pPr>
      <w:r>
        <w:rPr>
          <w:noProof/>
        </w:rPr>
        <mc:AlternateContent>
          <mc:Choice Requires="wps">
            <w:drawing>
              <wp:anchor distT="0" distB="0" distL="114300" distR="114300" simplePos="0" relativeHeight="251661312" behindDoc="0" locked="0" layoutInCell="1" allowOverlap="1" wp14:anchorId="72AA3352" wp14:editId="067FD7F7">
                <wp:simplePos x="0" y="0"/>
                <wp:positionH relativeFrom="margin">
                  <wp:align>center</wp:align>
                </wp:positionH>
                <wp:positionV relativeFrom="paragraph">
                  <wp:posOffset>557527</wp:posOffset>
                </wp:positionV>
                <wp:extent cx="7543800" cy="0"/>
                <wp:effectExtent l="0" t="0" r="0" b="0"/>
                <wp:wrapNone/>
                <wp:docPr id="542350643" name="Line 19"/>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28437" cap="flat">
                          <a:solidFill>
                            <a:srgbClr val="000000"/>
                          </a:solidFill>
                          <a:prstDash val="solid"/>
                          <a:round/>
                        </a:ln>
                      </wps:spPr>
                      <wps:bodyPr/>
                    </wps:wsp>
                  </a:graphicData>
                </a:graphic>
              </wp:anchor>
            </w:drawing>
          </mc:Choice>
          <mc:Fallback>
            <w:pict>
              <v:shapetype w14:anchorId="32714451" id="_x0000_t32" coordsize="21600,21600" o:spt="32" o:oned="t" path="m,l21600,21600e" filled="f">
                <v:path arrowok="t" fillok="f" o:connecttype="none"/>
                <o:lock v:ext="edit" shapetype="t"/>
              </v:shapetype>
              <v:shape id="Line 19" o:spid="_x0000_s1026" type="#_x0000_t32" style="position:absolute;margin-left:0;margin-top:43.9pt;width:594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" strokeweight=".78992mm">
                <w10:wrap anchorx="margin"/>
              </v:shape>
            </w:pict>
          </mc:Fallback>
        </mc:AlternateContent>
      </w:r>
      <w:r>
        <w:rPr>
          <w:rFonts w:ascii="Times New Roman" w:hAnsi="Times New Roman" w:cs="Times New Roman"/>
          <w:sz w:val="20"/>
          <w:szCs w:val="20"/>
        </w:rPr>
        <w:t xml:space="preserve">4. </w:t>
      </w:r>
      <w:bookmarkEnd w:id="3"/>
      <w:r w:rsidR="00C844AC" w:rsidRPr="00C844AC">
        <w:rPr>
          <w:rFonts w:ascii="Times New Roman" w:eastAsia="Times New Roman" w:hAnsi="Times New Roman" w:cs="Times New Roman"/>
          <w:bCs/>
          <w:sz w:val="20"/>
          <w:szCs w:val="20"/>
          <w:lang w:eastAsia="pl-PL"/>
        </w:rPr>
        <w:t>Technologia wykonania oraz standard prac wykończeniowych lokalu oraz części wspólnej budynków i terenie wokół nich, stanowiącym część wspólną nieruchomości</w:t>
      </w:r>
      <w:r>
        <w:rPr>
          <w:rFonts w:ascii="Times New Roman" w:eastAsia="Times New Roman" w:hAnsi="Times New Roman" w:cs="Times New Roman"/>
          <w:bCs/>
          <w:sz w:val="20"/>
          <w:szCs w:val="20"/>
          <w:lang w:eastAsia="pl-PL"/>
        </w:rPr>
        <w:t>.</w:t>
      </w:r>
    </w:p>
    <w:sectPr w:rsidR="00F7371C" w:rsidRPr="00496E5F" w:rsidSect="00CC5FC4">
      <w:footerReference w:type="default" r:id="rId8"/>
      <w:footerReference w:type="first" r:id="rId9"/>
      <w:footnotePr>
        <w:numStart w:val="5"/>
      </w:footnotePr>
      <w:endnotePr>
        <w:numFmt w:val="decimal"/>
        <w:numStart w:val="4"/>
      </w:endnotePr>
      <w:type w:val="continuous"/>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6A01" w14:textId="77777777" w:rsidR="00D87AFB" w:rsidRDefault="00D87AFB" w:rsidP="00EA1C22">
      <w:pPr>
        <w:spacing w:after="0" w:line="240" w:lineRule="auto"/>
      </w:pPr>
      <w:r>
        <w:separator/>
      </w:r>
    </w:p>
  </w:endnote>
  <w:endnote w:type="continuationSeparator" w:id="0">
    <w:p w14:paraId="71A02147" w14:textId="77777777" w:rsidR="00D87AFB" w:rsidRDefault="00D87AFB"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F">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294E1123" w14:textId="07858E0A"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506907">
          <w:rPr>
            <w:rFonts w:ascii="Times New Roman" w:hAnsi="Times New Roman" w:cs="Times New Roman"/>
            <w:noProof/>
            <w:sz w:val="24"/>
          </w:rPr>
          <w:t>10</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6CD" w14:textId="77777777" w:rsidR="00143535" w:rsidRDefault="00143535">
    <w:pPr>
      <w:pStyle w:val="Stopka"/>
      <w:jc w:val="center"/>
    </w:pPr>
  </w:p>
  <w:p w14:paraId="113CDFFA"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4619" w14:textId="77777777" w:rsidR="00D87AFB" w:rsidRDefault="00D87AFB" w:rsidP="00EA1C22">
      <w:pPr>
        <w:spacing w:after="0" w:line="240" w:lineRule="auto"/>
      </w:pPr>
      <w:r>
        <w:separator/>
      </w:r>
    </w:p>
  </w:footnote>
  <w:footnote w:type="continuationSeparator" w:id="0">
    <w:p w14:paraId="057B417A" w14:textId="77777777" w:rsidR="00D87AFB" w:rsidRDefault="00D87AFB" w:rsidP="00EA1C22">
      <w:pPr>
        <w:spacing w:after="0" w:line="240" w:lineRule="auto"/>
      </w:pPr>
      <w:r>
        <w:continuationSeparator/>
      </w:r>
    </w:p>
  </w:footnote>
  <w:footnote w:id="1">
    <w:p w14:paraId="5259478A" w14:textId="77777777" w:rsidR="00EA1C22" w:rsidRPr="009017DC" w:rsidRDefault="00EA1C22" w:rsidP="00A177CE">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461A6421"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7D802E83"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9854057" w14:textId="77777777" w:rsidR="00D6706C" w:rsidRPr="00143535" w:rsidRDefault="00D6706C" w:rsidP="00A177CE">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4802210C" w14:textId="43C1E008" w:rsidR="00D6706C" w:rsidRPr="00143535" w:rsidRDefault="002B5B53"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2B5B53">
        <w:rPr>
          <w:rFonts w:cs="Times New Roman"/>
          <w:sz w:val="18"/>
          <w:szCs w:val="18"/>
        </w:rPr>
        <w:t>dotyczących Inwestycji, Inwestycji Towarzyszących oraz obszaru otoczenia CPK</w:t>
      </w:r>
      <w:r w:rsidR="00D6706C" w:rsidRPr="00143535">
        <w:rPr>
          <w:rFonts w:cs="Times New Roman"/>
          <w:sz w:val="18"/>
          <w:szCs w:val="18"/>
        </w:rPr>
        <w:t>,</w:t>
      </w:r>
    </w:p>
    <w:p w14:paraId="14BAA23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56EE4EE1"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F54F657"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97B30F6"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1612208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077196F"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417A639" w14:textId="77777777" w:rsidR="00D6706C" w:rsidRPr="00143535"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1A508597" w14:textId="77777777" w:rsidR="00D6706C" w:rsidRPr="00A80C58"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1E21C421" w14:textId="77777777" w:rsidR="00502F5D" w:rsidRPr="00137E9F" w:rsidRDefault="00502F5D" w:rsidP="0050435A">
      <w:pPr>
        <w:pStyle w:val="ODNONIKtreodnonika"/>
      </w:pPr>
      <w:r>
        <w:rPr>
          <w:rStyle w:val="Odwoanieprzypisudolnego"/>
        </w:rPr>
        <w:footnoteRef/>
      </w:r>
      <w:r>
        <w:rPr>
          <w:rStyle w:val="IGindeksgrny"/>
        </w:rPr>
        <w:t>)</w:t>
      </w:r>
      <w:r>
        <w:tab/>
      </w:r>
      <w:r w:rsidRPr="000B4E23">
        <w:rPr>
          <w:sz w:val="18"/>
          <w:szCs w:val="18"/>
        </w:rPr>
        <w:t>W przypadku braku miejscowego planu zagospodarowania przestrzennego umieszcza się informację „Brak planu”.</w:t>
      </w:r>
    </w:p>
  </w:footnote>
  <w:footnote w:id="6">
    <w:p w14:paraId="106DEA67" w14:textId="77777777" w:rsidR="009327A6" w:rsidRPr="00137E9F" w:rsidRDefault="009327A6" w:rsidP="009327A6">
      <w:pPr>
        <w:pStyle w:val="ODNONIKtreodnonika"/>
      </w:pPr>
      <w:r>
        <w:rPr>
          <w:rStyle w:val="Odwoanieprzypisudolnego"/>
        </w:rPr>
        <w:footnoteRef/>
      </w:r>
      <w:r>
        <w:rPr>
          <w:rStyle w:val="IGindeksgrny"/>
        </w:rPr>
        <w:t>)</w:t>
      </w:r>
      <w:r>
        <w:tab/>
      </w:r>
      <w:r>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4293A199" w14:textId="276512AB" w:rsidR="00F7371C" w:rsidRDefault="00F7371C" w:rsidP="00137E9F">
      <w:pPr>
        <w:pStyle w:val="ODNONIKtreodnonika"/>
        <w:rPr>
          <w:sz w:val="18"/>
          <w:szCs w:val="18"/>
        </w:rPr>
      </w:pPr>
      <w:r>
        <w:rPr>
          <w:rStyle w:val="Odwoanieprzypisudolnego"/>
        </w:rPr>
        <w:footnoteRef/>
      </w:r>
      <w:r>
        <w:rPr>
          <w:rStyle w:val="IGindeksgrny"/>
        </w:rPr>
        <w:t>)</w:t>
      </w:r>
      <w:r>
        <w:tab/>
      </w:r>
      <w:r>
        <w:rPr>
          <w:sz w:val="18"/>
          <w:szCs w:val="18"/>
        </w:rPr>
        <w:t>Zgodnie z art. 48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4AB40C0" w14:textId="77777777" w:rsidR="00F7371C" w:rsidRDefault="00F7371C" w:rsidP="00137E9F">
      <w:pPr>
        <w:pStyle w:val="ODNONIKtreodnonika"/>
        <w:rPr>
          <w:sz w:val="18"/>
          <w:szCs w:val="18"/>
        </w:rPr>
      </w:pPr>
    </w:p>
    <w:p w14:paraId="28DFDB3F" w14:textId="77777777" w:rsidR="00F7371C" w:rsidRPr="00137E9F" w:rsidRDefault="00F7371C" w:rsidP="00137E9F">
      <w:pPr>
        <w:pStyle w:val="ODNONIKtreodnonika"/>
      </w:pPr>
      <w:r w:rsidRPr="009559BD">
        <w:rPr>
          <w:rStyle w:val="Odwoanieprzypisudolnego"/>
          <w:sz w:val="18"/>
          <w:szCs w:val="18"/>
        </w:rPr>
        <w:t>*</w:t>
      </w:r>
      <w:r>
        <w:rPr>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A55"/>
    <w:multiLevelType w:val="hybridMultilevel"/>
    <w:tmpl w:val="E646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7519D"/>
    <w:multiLevelType w:val="multilevel"/>
    <w:tmpl w:val="778A4570"/>
    <w:styleLink w:val="WWNum1"/>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5BC6486"/>
    <w:multiLevelType w:val="hybridMultilevel"/>
    <w:tmpl w:val="9DA2D732"/>
    <w:lvl w:ilvl="0" w:tplc="85348396">
      <w:start w:val="1"/>
      <w:numFmt w:val="upperRoman"/>
      <w:lvlText w:val="%1."/>
      <w:lvlJc w:val="left"/>
      <w:pPr>
        <w:ind w:left="1797" w:hanging="720"/>
      </w:pPr>
      <w:rPr>
        <w:rFonts w:ascii="Times New Roman" w:eastAsia="Times New Roman" w:hAnsi="Times New Roman" w:cs="Times New Roman" w:hint="default"/>
        <w:b/>
        <w:sz w:val="20"/>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25D931C0"/>
    <w:multiLevelType w:val="hybridMultilevel"/>
    <w:tmpl w:val="7ECAA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A75D3"/>
    <w:multiLevelType w:val="hybridMultilevel"/>
    <w:tmpl w:val="E692309C"/>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F62D00"/>
    <w:multiLevelType w:val="hybridMultilevel"/>
    <w:tmpl w:val="73BA1B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F7D0726"/>
    <w:multiLevelType w:val="hybridMultilevel"/>
    <w:tmpl w:val="B45CD316"/>
    <w:lvl w:ilvl="0" w:tplc="588C5A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F5DC5"/>
    <w:multiLevelType w:val="hybridMultilevel"/>
    <w:tmpl w:val="49D283D2"/>
    <w:lvl w:ilvl="0" w:tplc="04150017">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7CFB0839"/>
    <w:multiLevelType w:val="hybridMultilevel"/>
    <w:tmpl w:val="4F96AC0C"/>
    <w:lvl w:ilvl="0" w:tplc="75BAFD5C">
      <w:start w:val="1"/>
      <w:numFmt w:val="decimal"/>
      <w:lvlText w:val="%1)"/>
      <w:lvlJc w:val="left"/>
      <w:pPr>
        <w:ind w:left="765" w:hanging="405"/>
      </w:pPr>
      <w:rPr>
        <w:rFonts w:hint="default"/>
      </w:rPr>
    </w:lvl>
    <w:lvl w:ilvl="1" w:tplc="D2F69D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191799">
    <w:abstractNumId w:val="9"/>
  </w:num>
  <w:num w:numId="2" w16cid:durableId="1643194805">
    <w:abstractNumId w:val="8"/>
  </w:num>
  <w:num w:numId="3" w16cid:durableId="864710799">
    <w:abstractNumId w:val="12"/>
  </w:num>
  <w:num w:numId="4" w16cid:durableId="715619020">
    <w:abstractNumId w:val="1"/>
  </w:num>
  <w:num w:numId="5" w16cid:durableId="173155831">
    <w:abstractNumId w:val="6"/>
  </w:num>
  <w:num w:numId="6" w16cid:durableId="868178379">
    <w:abstractNumId w:val="11"/>
  </w:num>
  <w:num w:numId="7" w16cid:durableId="637494116">
    <w:abstractNumId w:val="5"/>
  </w:num>
  <w:num w:numId="8" w16cid:durableId="13386397">
    <w:abstractNumId w:val="0"/>
  </w:num>
  <w:num w:numId="9" w16cid:durableId="302588011">
    <w:abstractNumId w:val="10"/>
  </w:num>
  <w:num w:numId="10" w16cid:durableId="297492357">
    <w:abstractNumId w:val="4"/>
  </w:num>
  <w:num w:numId="11" w16cid:durableId="796877630">
    <w:abstractNumId w:val="2"/>
  </w:num>
  <w:num w:numId="12" w16cid:durableId="777138658">
    <w:abstractNumId w:val="2"/>
    <w:lvlOverride w:ilvl="0">
      <w:startOverride w:val="1"/>
    </w:lvlOverride>
  </w:num>
  <w:num w:numId="13" w16cid:durableId="1233270584">
    <w:abstractNumId w:val="0"/>
    <w:lvlOverride w:ilvl="0">
      <w:startOverride w:val="1"/>
    </w:lvlOverride>
  </w:num>
  <w:num w:numId="14" w16cid:durableId="819544443">
    <w:abstractNumId w:val="3"/>
  </w:num>
  <w:num w:numId="15" w16cid:durableId="441073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Start w:val="5"/>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028AE"/>
    <w:rsid w:val="00010B78"/>
    <w:rsid w:val="00014274"/>
    <w:rsid w:val="00015006"/>
    <w:rsid w:val="00034D4E"/>
    <w:rsid w:val="00043D7E"/>
    <w:rsid w:val="00045D5F"/>
    <w:rsid w:val="00052BD3"/>
    <w:rsid w:val="000537A3"/>
    <w:rsid w:val="00056365"/>
    <w:rsid w:val="00064B7B"/>
    <w:rsid w:val="00075093"/>
    <w:rsid w:val="00080E20"/>
    <w:rsid w:val="00083AEA"/>
    <w:rsid w:val="00087009"/>
    <w:rsid w:val="000962F7"/>
    <w:rsid w:val="000A208F"/>
    <w:rsid w:val="000A4E87"/>
    <w:rsid w:val="000C5D74"/>
    <w:rsid w:val="000D204E"/>
    <w:rsid w:val="000F6427"/>
    <w:rsid w:val="00110283"/>
    <w:rsid w:val="00120C46"/>
    <w:rsid w:val="0012739C"/>
    <w:rsid w:val="00137B14"/>
    <w:rsid w:val="00143535"/>
    <w:rsid w:val="001447F7"/>
    <w:rsid w:val="0015416D"/>
    <w:rsid w:val="00164E2D"/>
    <w:rsid w:val="00165804"/>
    <w:rsid w:val="00167388"/>
    <w:rsid w:val="00187FD5"/>
    <w:rsid w:val="00193405"/>
    <w:rsid w:val="001C4BAC"/>
    <w:rsid w:val="001D1C46"/>
    <w:rsid w:val="001D2E01"/>
    <w:rsid w:val="001E1E76"/>
    <w:rsid w:val="002131B1"/>
    <w:rsid w:val="002462E0"/>
    <w:rsid w:val="00260BBE"/>
    <w:rsid w:val="002653A6"/>
    <w:rsid w:val="00270BEE"/>
    <w:rsid w:val="00272039"/>
    <w:rsid w:val="00273AB4"/>
    <w:rsid w:val="002841A4"/>
    <w:rsid w:val="002851BF"/>
    <w:rsid w:val="002B3137"/>
    <w:rsid w:val="002B3DD5"/>
    <w:rsid w:val="002B5B53"/>
    <w:rsid w:val="002F7575"/>
    <w:rsid w:val="003118DF"/>
    <w:rsid w:val="00316E26"/>
    <w:rsid w:val="00354FDC"/>
    <w:rsid w:val="003754A7"/>
    <w:rsid w:val="00375527"/>
    <w:rsid w:val="003A7C0A"/>
    <w:rsid w:val="003C16E4"/>
    <w:rsid w:val="003C2759"/>
    <w:rsid w:val="003D0C8D"/>
    <w:rsid w:val="003E1B4A"/>
    <w:rsid w:val="003F17B7"/>
    <w:rsid w:val="003F7CBF"/>
    <w:rsid w:val="003F7E75"/>
    <w:rsid w:val="00400A7E"/>
    <w:rsid w:val="00407983"/>
    <w:rsid w:val="00411C10"/>
    <w:rsid w:val="0041724E"/>
    <w:rsid w:val="00422E85"/>
    <w:rsid w:val="00435510"/>
    <w:rsid w:val="00435656"/>
    <w:rsid w:val="004460C4"/>
    <w:rsid w:val="00467367"/>
    <w:rsid w:val="00471C72"/>
    <w:rsid w:val="00496E5F"/>
    <w:rsid w:val="004A162B"/>
    <w:rsid w:val="004A2485"/>
    <w:rsid w:val="004C0DEA"/>
    <w:rsid w:val="004E284F"/>
    <w:rsid w:val="004F572F"/>
    <w:rsid w:val="00502F5D"/>
    <w:rsid w:val="0050435A"/>
    <w:rsid w:val="00506907"/>
    <w:rsid w:val="00507B94"/>
    <w:rsid w:val="005109F1"/>
    <w:rsid w:val="00524D14"/>
    <w:rsid w:val="005575DC"/>
    <w:rsid w:val="00563CE5"/>
    <w:rsid w:val="00565240"/>
    <w:rsid w:val="00575EF3"/>
    <w:rsid w:val="0058073C"/>
    <w:rsid w:val="005868E8"/>
    <w:rsid w:val="005975F4"/>
    <w:rsid w:val="005976D4"/>
    <w:rsid w:val="005A0F94"/>
    <w:rsid w:val="005A5C2E"/>
    <w:rsid w:val="005C69BD"/>
    <w:rsid w:val="005D648F"/>
    <w:rsid w:val="005F1768"/>
    <w:rsid w:val="005F17E8"/>
    <w:rsid w:val="00611072"/>
    <w:rsid w:val="006177CF"/>
    <w:rsid w:val="006250B8"/>
    <w:rsid w:val="00625BBC"/>
    <w:rsid w:val="006262AE"/>
    <w:rsid w:val="006345B9"/>
    <w:rsid w:val="006452A7"/>
    <w:rsid w:val="0065711C"/>
    <w:rsid w:val="00660954"/>
    <w:rsid w:val="00660F06"/>
    <w:rsid w:val="00665D09"/>
    <w:rsid w:val="006830FA"/>
    <w:rsid w:val="0069541E"/>
    <w:rsid w:val="006B0DD6"/>
    <w:rsid w:val="006C5700"/>
    <w:rsid w:val="006C72D7"/>
    <w:rsid w:val="006F0CF8"/>
    <w:rsid w:val="007056A8"/>
    <w:rsid w:val="00706E37"/>
    <w:rsid w:val="00720D04"/>
    <w:rsid w:val="0074139B"/>
    <w:rsid w:val="0074603B"/>
    <w:rsid w:val="00756A96"/>
    <w:rsid w:val="00786E1C"/>
    <w:rsid w:val="00787438"/>
    <w:rsid w:val="007B2861"/>
    <w:rsid w:val="007B6386"/>
    <w:rsid w:val="007C57DC"/>
    <w:rsid w:val="007E2BA0"/>
    <w:rsid w:val="007E3E4D"/>
    <w:rsid w:val="007E548F"/>
    <w:rsid w:val="007E5D23"/>
    <w:rsid w:val="007E652F"/>
    <w:rsid w:val="007E665D"/>
    <w:rsid w:val="007F4B82"/>
    <w:rsid w:val="007F577D"/>
    <w:rsid w:val="008061AB"/>
    <w:rsid w:val="00815A90"/>
    <w:rsid w:val="00835C90"/>
    <w:rsid w:val="00845C2F"/>
    <w:rsid w:val="00853926"/>
    <w:rsid w:val="00871799"/>
    <w:rsid w:val="008C1CDB"/>
    <w:rsid w:val="008D12DD"/>
    <w:rsid w:val="008D7093"/>
    <w:rsid w:val="008E6AB8"/>
    <w:rsid w:val="008E7F4B"/>
    <w:rsid w:val="009108DE"/>
    <w:rsid w:val="00910BA5"/>
    <w:rsid w:val="00912F6A"/>
    <w:rsid w:val="00920895"/>
    <w:rsid w:val="00921952"/>
    <w:rsid w:val="009327A6"/>
    <w:rsid w:val="00935226"/>
    <w:rsid w:val="00952F99"/>
    <w:rsid w:val="00962259"/>
    <w:rsid w:val="00976F86"/>
    <w:rsid w:val="00981DF3"/>
    <w:rsid w:val="009A1926"/>
    <w:rsid w:val="009A3A15"/>
    <w:rsid w:val="009A45B4"/>
    <w:rsid w:val="009B5491"/>
    <w:rsid w:val="009B6D1E"/>
    <w:rsid w:val="009B7A86"/>
    <w:rsid w:val="009C4303"/>
    <w:rsid w:val="00A0302D"/>
    <w:rsid w:val="00A0318C"/>
    <w:rsid w:val="00A07F91"/>
    <w:rsid w:val="00A177CE"/>
    <w:rsid w:val="00A22868"/>
    <w:rsid w:val="00A2550E"/>
    <w:rsid w:val="00A4101E"/>
    <w:rsid w:val="00A4620C"/>
    <w:rsid w:val="00A65138"/>
    <w:rsid w:val="00A80C58"/>
    <w:rsid w:val="00A909E7"/>
    <w:rsid w:val="00A9618F"/>
    <w:rsid w:val="00AA6214"/>
    <w:rsid w:val="00AA65DA"/>
    <w:rsid w:val="00AB0D71"/>
    <w:rsid w:val="00AE5294"/>
    <w:rsid w:val="00B115F6"/>
    <w:rsid w:val="00B16B69"/>
    <w:rsid w:val="00B25155"/>
    <w:rsid w:val="00B26BE3"/>
    <w:rsid w:val="00B36A95"/>
    <w:rsid w:val="00B40900"/>
    <w:rsid w:val="00B420FF"/>
    <w:rsid w:val="00B66F8A"/>
    <w:rsid w:val="00B74A56"/>
    <w:rsid w:val="00B85A51"/>
    <w:rsid w:val="00B953CB"/>
    <w:rsid w:val="00BD64C8"/>
    <w:rsid w:val="00BE0344"/>
    <w:rsid w:val="00BF0384"/>
    <w:rsid w:val="00C05345"/>
    <w:rsid w:val="00C11774"/>
    <w:rsid w:val="00C13ECE"/>
    <w:rsid w:val="00C5624D"/>
    <w:rsid w:val="00C61580"/>
    <w:rsid w:val="00C76F76"/>
    <w:rsid w:val="00C844AC"/>
    <w:rsid w:val="00C8732F"/>
    <w:rsid w:val="00C92BAF"/>
    <w:rsid w:val="00CA19C0"/>
    <w:rsid w:val="00CB4599"/>
    <w:rsid w:val="00CB68F1"/>
    <w:rsid w:val="00CC5FC4"/>
    <w:rsid w:val="00CC7795"/>
    <w:rsid w:val="00D01969"/>
    <w:rsid w:val="00D34DBF"/>
    <w:rsid w:val="00D50BCB"/>
    <w:rsid w:val="00D6706C"/>
    <w:rsid w:val="00D76587"/>
    <w:rsid w:val="00D87AFB"/>
    <w:rsid w:val="00D90069"/>
    <w:rsid w:val="00D9066C"/>
    <w:rsid w:val="00DB067D"/>
    <w:rsid w:val="00DB530F"/>
    <w:rsid w:val="00DB5F71"/>
    <w:rsid w:val="00DC2A2F"/>
    <w:rsid w:val="00DD695D"/>
    <w:rsid w:val="00DD7B98"/>
    <w:rsid w:val="00DF3A2D"/>
    <w:rsid w:val="00E0181F"/>
    <w:rsid w:val="00E10302"/>
    <w:rsid w:val="00E22F9F"/>
    <w:rsid w:val="00E31914"/>
    <w:rsid w:val="00E33A1D"/>
    <w:rsid w:val="00EA1C22"/>
    <w:rsid w:val="00EA6B6F"/>
    <w:rsid w:val="00EB2917"/>
    <w:rsid w:val="00EC7FB7"/>
    <w:rsid w:val="00ED7811"/>
    <w:rsid w:val="00EF63EF"/>
    <w:rsid w:val="00F019BC"/>
    <w:rsid w:val="00F02DD1"/>
    <w:rsid w:val="00F05CE7"/>
    <w:rsid w:val="00F32286"/>
    <w:rsid w:val="00F64C7E"/>
    <w:rsid w:val="00F7371C"/>
    <w:rsid w:val="00F73CE9"/>
    <w:rsid w:val="00F76BB4"/>
    <w:rsid w:val="00F92C8C"/>
    <w:rsid w:val="00F9336C"/>
    <w:rsid w:val="00FA1947"/>
    <w:rsid w:val="00FB0D02"/>
    <w:rsid w:val="00FC41B9"/>
    <w:rsid w:val="00FD125F"/>
    <w:rsid w:val="00FE0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565CA"/>
  <w15:docId w15:val="{659F861A-8B03-4890-9425-68676EF0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Odwoaniedokomentarza">
    <w:name w:val="annotation reference"/>
    <w:basedOn w:val="Domylnaczcionkaakapitu"/>
    <w:uiPriority w:val="99"/>
    <w:semiHidden/>
    <w:unhideWhenUsed/>
    <w:rsid w:val="00CB4599"/>
    <w:rPr>
      <w:sz w:val="16"/>
      <w:szCs w:val="16"/>
    </w:rPr>
  </w:style>
  <w:style w:type="paragraph" w:styleId="Tekstkomentarza">
    <w:name w:val="annotation text"/>
    <w:basedOn w:val="Normalny"/>
    <w:link w:val="TekstkomentarzaZnak"/>
    <w:uiPriority w:val="99"/>
    <w:unhideWhenUsed/>
    <w:rsid w:val="00CB4599"/>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CB4599"/>
    <w:rPr>
      <w:sz w:val="20"/>
      <w:szCs w:val="20"/>
    </w:rPr>
  </w:style>
  <w:style w:type="paragraph" w:styleId="Tekstprzypisukocowego">
    <w:name w:val="endnote text"/>
    <w:basedOn w:val="Normalny"/>
    <w:link w:val="TekstprzypisukocowegoZnak"/>
    <w:uiPriority w:val="99"/>
    <w:semiHidden/>
    <w:unhideWhenUsed/>
    <w:rsid w:val="00CC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C5FC4"/>
    <w:rPr>
      <w:sz w:val="20"/>
      <w:szCs w:val="20"/>
    </w:rPr>
  </w:style>
  <w:style w:type="character" w:styleId="Odwoanieprzypisukocowego">
    <w:name w:val="endnote reference"/>
    <w:basedOn w:val="Domylnaczcionkaakapitu"/>
    <w:uiPriority w:val="99"/>
    <w:semiHidden/>
    <w:unhideWhenUsed/>
    <w:rsid w:val="00CC5FC4"/>
    <w:rPr>
      <w:vertAlign w:val="superscript"/>
    </w:rPr>
  </w:style>
  <w:style w:type="paragraph" w:customStyle="1" w:styleId="PKTpunkt">
    <w:name w:val="PKT – punkt"/>
    <w:uiPriority w:val="13"/>
    <w:qFormat/>
    <w:rsid w:val="009B5491"/>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9B5491"/>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DNONIKtreodnonika">
    <w:name w:val="ODNOŚNIK – treść odnośnika"/>
    <w:uiPriority w:val="19"/>
    <w:qFormat/>
    <w:rsid w:val="00502F5D"/>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502F5D"/>
    <w:rPr>
      <w:b w:val="0"/>
      <w:i w:val="0"/>
      <w:vanish w:val="0"/>
      <w:spacing w:val="0"/>
      <w:vertAlign w:val="superscript"/>
    </w:rPr>
  </w:style>
  <w:style w:type="character" w:customStyle="1" w:styleId="markedcontent">
    <w:name w:val="markedcontent"/>
    <w:basedOn w:val="Domylnaczcionkaakapitu"/>
    <w:rsid w:val="00912F6A"/>
  </w:style>
  <w:style w:type="paragraph" w:styleId="Poprawka">
    <w:name w:val="Revision"/>
    <w:hidden/>
    <w:uiPriority w:val="99"/>
    <w:semiHidden/>
    <w:rsid w:val="003D0C8D"/>
    <w:pPr>
      <w:spacing w:after="0" w:line="240" w:lineRule="auto"/>
    </w:pPr>
  </w:style>
  <w:style w:type="paragraph" w:customStyle="1" w:styleId="Standard">
    <w:name w:val="Standard"/>
    <w:rsid w:val="002B5B53"/>
    <w:pPr>
      <w:suppressAutoHyphens/>
      <w:autoSpaceDN w:val="0"/>
      <w:spacing w:line="240" w:lineRule="auto"/>
      <w:textAlignment w:val="baseline"/>
    </w:pPr>
    <w:rPr>
      <w:rFonts w:ascii="Calibri" w:eastAsia="Calibri" w:hAnsi="Calibri" w:cs="F"/>
    </w:rPr>
  </w:style>
  <w:style w:type="numbering" w:customStyle="1" w:styleId="WWNum1">
    <w:name w:val="WWNum1"/>
    <w:basedOn w:val="Bezlisty"/>
    <w:rsid w:val="002B5B53"/>
    <w:pPr>
      <w:numPr>
        <w:numId w:val="11"/>
      </w:numPr>
    </w:pPr>
  </w:style>
  <w:style w:type="character" w:styleId="Hipercze">
    <w:name w:val="Hyperlink"/>
    <w:basedOn w:val="Domylnaczcionkaakapitu"/>
    <w:rsid w:val="00D019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67">
      <w:bodyDiv w:val="1"/>
      <w:marLeft w:val="0"/>
      <w:marRight w:val="0"/>
      <w:marTop w:val="0"/>
      <w:marBottom w:val="0"/>
      <w:divBdr>
        <w:top w:val="none" w:sz="0" w:space="0" w:color="auto"/>
        <w:left w:val="none" w:sz="0" w:space="0" w:color="auto"/>
        <w:bottom w:val="none" w:sz="0" w:space="0" w:color="auto"/>
        <w:right w:val="none" w:sz="0" w:space="0" w:color="auto"/>
      </w:divBdr>
      <w:divsChild>
        <w:div w:id="659040181">
          <w:marLeft w:val="0"/>
          <w:marRight w:val="0"/>
          <w:marTop w:val="0"/>
          <w:marBottom w:val="0"/>
          <w:divBdr>
            <w:top w:val="none" w:sz="0" w:space="0" w:color="auto"/>
            <w:left w:val="none" w:sz="0" w:space="0" w:color="auto"/>
            <w:bottom w:val="none" w:sz="0" w:space="0" w:color="auto"/>
            <w:right w:val="none" w:sz="0" w:space="0" w:color="auto"/>
          </w:divBdr>
        </w:div>
      </w:divsChild>
    </w:div>
    <w:div w:id="76169734">
      <w:bodyDiv w:val="1"/>
      <w:marLeft w:val="0"/>
      <w:marRight w:val="0"/>
      <w:marTop w:val="0"/>
      <w:marBottom w:val="0"/>
      <w:divBdr>
        <w:top w:val="none" w:sz="0" w:space="0" w:color="auto"/>
        <w:left w:val="none" w:sz="0" w:space="0" w:color="auto"/>
        <w:bottom w:val="none" w:sz="0" w:space="0" w:color="auto"/>
        <w:right w:val="none" w:sz="0" w:space="0" w:color="auto"/>
      </w:divBdr>
    </w:div>
    <w:div w:id="112335603">
      <w:bodyDiv w:val="1"/>
      <w:marLeft w:val="0"/>
      <w:marRight w:val="0"/>
      <w:marTop w:val="0"/>
      <w:marBottom w:val="0"/>
      <w:divBdr>
        <w:top w:val="none" w:sz="0" w:space="0" w:color="auto"/>
        <w:left w:val="none" w:sz="0" w:space="0" w:color="auto"/>
        <w:bottom w:val="none" w:sz="0" w:space="0" w:color="auto"/>
        <w:right w:val="none" w:sz="0" w:space="0" w:color="auto"/>
      </w:divBdr>
      <w:divsChild>
        <w:div w:id="274411820">
          <w:marLeft w:val="0"/>
          <w:marRight w:val="0"/>
          <w:marTop w:val="0"/>
          <w:marBottom w:val="0"/>
          <w:divBdr>
            <w:top w:val="none" w:sz="0" w:space="0" w:color="auto"/>
            <w:left w:val="none" w:sz="0" w:space="0" w:color="auto"/>
            <w:bottom w:val="none" w:sz="0" w:space="0" w:color="auto"/>
            <w:right w:val="none" w:sz="0" w:space="0" w:color="auto"/>
          </w:divBdr>
        </w:div>
        <w:div w:id="194007613">
          <w:marLeft w:val="0"/>
          <w:marRight w:val="0"/>
          <w:marTop w:val="0"/>
          <w:marBottom w:val="0"/>
          <w:divBdr>
            <w:top w:val="none" w:sz="0" w:space="0" w:color="auto"/>
            <w:left w:val="none" w:sz="0" w:space="0" w:color="auto"/>
            <w:bottom w:val="none" w:sz="0" w:space="0" w:color="auto"/>
            <w:right w:val="none" w:sz="0" w:space="0" w:color="auto"/>
          </w:divBdr>
        </w:div>
      </w:divsChild>
    </w:div>
    <w:div w:id="422144053">
      <w:bodyDiv w:val="1"/>
      <w:marLeft w:val="0"/>
      <w:marRight w:val="0"/>
      <w:marTop w:val="0"/>
      <w:marBottom w:val="0"/>
      <w:divBdr>
        <w:top w:val="none" w:sz="0" w:space="0" w:color="auto"/>
        <w:left w:val="none" w:sz="0" w:space="0" w:color="auto"/>
        <w:bottom w:val="none" w:sz="0" w:space="0" w:color="auto"/>
        <w:right w:val="none" w:sz="0" w:space="0" w:color="auto"/>
      </w:divBdr>
      <w:divsChild>
        <w:div w:id="1026565309">
          <w:marLeft w:val="0"/>
          <w:marRight w:val="0"/>
          <w:marTop w:val="0"/>
          <w:marBottom w:val="0"/>
          <w:divBdr>
            <w:top w:val="none" w:sz="0" w:space="0" w:color="auto"/>
            <w:left w:val="none" w:sz="0" w:space="0" w:color="auto"/>
            <w:bottom w:val="none" w:sz="0" w:space="0" w:color="auto"/>
            <w:right w:val="none" w:sz="0" w:space="0" w:color="auto"/>
          </w:divBdr>
        </w:div>
      </w:divsChild>
    </w:div>
    <w:div w:id="559440986">
      <w:bodyDiv w:val="1"/>
      <w:marLeft w:val="0"/>
      <w:marRight w:val="0"/>
      <w:marTop w:val="0"/>
      <w:marBottom w:val="0"/>
      <w:divBdr>
        <w:top w:val="none" w:sz="0" w:space="0" w:color="auto"/>
        <w:left w:val="none" w:sz="0" w:space="0" w:color="auto"/>
        <w:bottom w:val="none" w:sz="0" w:space="0" w:color="auto"/>
        <w:right w:val="none" w:sz="0" w:space="0" w:color="auto"/>
      </w:divBdr>
      <w:divsChild>
        <w:div w:id="112096000">
          <w:marLeft w:val="0"/>
          <w:marRight w:val="0"/>
          <w:marTop w:val="0"/>
          <w:marBottom w:val="0"/>
          <w:divBdr>
            <w:top w:val="none" w:sz="0" w:space="0" w:color="auto"/>
            <w:left w:val="none" w:sz="0" w:space="0" w:color="auto"/>
            <w:bottom w:val="none" w:sz="0" w:space="0" w:color="auto"/>
            <w:right w:val="none" w:sz="0" w:space="0" w:color="auto"/>
          </w:divBdr>
        </w:div>
      </w:divsChild>
    </w:div>
    <w:div w:id="684669402">
      <w:bodyDiv w:val="1"/>
      <w:marLeft w:val="0"/>
      <w:marRight w:val="0"/>
      <w:marTop w:val="0"/>
      <w:marBottom w:val="0"/>
      <w:divBdr>
        <w:top w:val="none" w:sz="0" w:space="0" w:color="auto"/>
        <w:left w:val="none" w:sz="0" w:space="0" w:color="auto"/>
        <w:bottom w:val="none" w:sz="0" w:space="0" w:color="auto"/>
        <w:right w:val="none" w:sz="0" w:space="0" w:color="auto"/>
      </w:divBdr>
      <w:divsChild>
        <w:div w:id="1289896500">
          <w:marLeft w:val="0"/>
          <w:marRight w:val="0"/>
          <w:marTop w:val="0"/>
          <w:marBottom w:val="0"/>
          <w:divBdr>
            <w:top w:val="none" w:sz="0" w:space="0" w:color="auto"/>
            <w:left w:val="none" w:sz="0" w:space="0" w:color="auto"/>
            <w:bottom w:val="none" w:sz="0" w:space="0" w:color="auto"/>
            <w:right w:val="none" w:sz="0" w:space="0" w:color="auto"/>
          </w:divBdr>
        </w:div>
      </w:divsChild>
    </w:div>
    <w:div w:id="843864610">
      <w:bodyDiv w:val="1"/>
      <w:marLeft w:val="0"/>
      <w:marRight w:val="0"/>
      <w:marTop w:val="0"/>
      <w:marBottom w:val="0"/>
      <w:divBdr>
        <w:top w:val="none" w:sz="0" w:space="0" w:color="auto"/>
        <w:left w:val="none" w:sz="0" w:space="0" w:color="auto"/>
        <w:bottom w:val="none" w:sz="0" w:space="0" w:color="auto"/>
        <w:right w:val="none" w:sz="0" w:space="0" w:color="auto"/>
      </w:divBdr>
      <w:divsChild>
        <w:div w:id="579290335">
          <w:marLeft w:val="0"/>
          <w:marRight w:val="0"/>
          <w:marTop w:val="0"/>
          <w:marBottom w:val="0"/>
          <w:divBdr>
            <w:top w:val="none" w:sz="0" w:space="0" w:color="auto"/>
            <w:left w:val="none" w:sz="0" w:space="0" w:color="auto"/>
            <w:bottom w:val="none" w:sz="0" w:space="0" w:color="auto"/>
            <w:right w:val="none" w:sz="0" w:space="0" w:color="auto"/>
          </w:divBdr>
        </w:div>
        <w:div w:id="1021051439">
          <w:marLeft w:val="0"/>
          <w:marRight w:val="0"/>
          <w:marTop w:val="0"/>
          <w:marBottom w:val="0"/>
          <w:divBdr>
            <w:top w:val="none" w:sz="0" w:space="0" w:color="auto"/>
            <w:left w:val="none" w:sz="0" w:space="0" w:color="auto"/>
            <w:bottom w:val="none" w:sz="0" w:space="0" w:color="auto"/>
            <w:right w:val="none" w:sz="0" w:space="0" w:color="auto"/>
          </w:divBdr>
        </w:div>
      </w:divsChild>
    </w:div>
    <w:div w:id="888493656">
      <w:bodyDiv w:val="1"/>
      <w:marLeft w:val="0"/>
      <w:marRight w:val="0"/>
      <w:marTop w:val="0"/>
      <w:marBottom w:val="0"/>
      <w:divBdr>
        <w:top w:val="none" w:sz="0" w:space="0" w:color="auto"/>
        <w:left w:val="none" w:sz="0" w:space="0" w:color="auto"/>
        <w:bottom w:val="none" w:sz="0" w:space="0" w:color="auto"/>
        <w:right w:val="none" w:sz="0" w:space="0" w:color="auto"/>
      </w:divBdr>
    </w:div>
    <w:div w:id="896824022">
      <w:bodyDiv w:val="1"/>
      <w:marLeft w:val="0"/>
      <w:marRight w:val="0"/>
      <w:marTop w:val="0"/>
      <w:marBottom w:val="0"/>
      <w:divBdr>
        <w:top w:val="none" w:sz="0" w:space="0" w:color="auto"/>
        <w:left w:val="none" w:sz="0" w:space="0" w:color="auto"/>
        <w:bottom w:val="none" w:sz="0" w:space="0" w:color="auto"/>
        <w:right w:val="none" w:sz="0" w:space="0" w:color="auto"/>
      </w:divBdr>
    </w:div>
    <w:div w:id="990403164">
      <w:bodyDiv w:val="1"/>
      <w:marLeft w:val="0"/>
      <w:marRight w:val="0"/>
      <w:marTop w:val="0"/>
      <w:marBottom w:val="0"/>
      <w:divBdr>
        <w:top w:val="none" w:sz="0" w:space="0" w:color="auto"/>
        <w:left w:val="none" w:sz="0" w:space="0" w:color="auto"/>
        <w:bottom w:val="none" w:sz="0" w:space="0" w:color="auto"/>
        <w:right w:val="none" w:sz="0" w:space="0" w:color="auto"/>
      </w:divBdr>
      <w:divsChild>
        <w:div w:id="590160872">
          <w:marLeft w:val="0"/>
          <w:marRight w:val="0"/>
          <w:marTop w:val="0"/>
          <w:marBottom w:val="0"/>
          <w:divBdr>
            <w:top w:val="none" w:sz="0" w:space="0" w:color="auto"/>
            <w:left w:val="none" w:sz="0" w:space="0" w:color="auto"/>
            <w:bottom w:val="none" w:sz="0" w:space="0" w:color="auto"/>
            <w:right w:val="none" w:sz="0" w:space="0" w:color="auto"/>
          </w:divBdr>
        </w:div>
      </w:divsChild>
    </w:div>
    <w:div w:id="1013461222">
      <w:bodyDiv w:val="1"/>
      <w:marLeft w:val="0"/>
      <w:marRight w:val="0"/>
      <w:marTop w:val="0"/>
      <w:marBottom w:val="0"/>
      <w:divBdr>
        <w:top w:val="none" w:sz="0" w:space="0" w:color="auto"/>
        <w:left w:val="none" w:sz="0" w:space="0" w:color="auto"/>
        <w:bottom w:val="none" w:sz="0" w:space="0" w:color="auto"/>
        <w:right w:val="none" w:sz="0" w:space="0" w:color="auto"/>
      </w:divBdr>
    </w:div>
    <w:div w:id="1077705165">
      <w:bodyDiv w:val="1"/>
      <w:marLeft w:val="0"/>
      <w:marRight w:val="0"/>
      <w:marTop w:val="0"/>
      <w:marBottom w:val="0"/>
      <w:divBdr>
        <w:top w:val="none" w:sz="0" w:space="0" w:color="auto"/>
        <w:left w:val="none" w:sz="0" w:space="0" w:color="auto"/>
        <w:bottom w:val="none" w:sz="0" w:space="0" w:color="auto"/>
        <w:right w:val="none" w:sz="0" w:space="0" w:color="auto"/>
      </w:divBdr>
      <w:divsChild>
        <w:div w:id="1577665274">
          <w:marLeft w:val="0"/>
          <w:marRight w:val="0"/>
          <w:marTop w:val="0"/>
          <w:marBottom w:val="0"/>
          <w:divBdr>
            <w:top w:val="none" w:sz="0" w:space="0" w:color="auto"/>
            <w:left w:val="none" w:sz="0" w:space="0" w:color="auto"/>
            <w:bottom w:val="none" w:sz="0" w:space="0" w:color="auto"/>
            <w:right w:val="none" w:sz="0" w:space="0" w:color="auto"/>
          </w:divBdr>
        </w:div>
      </w:divsChild>
    </w:div>
    <w:div w:id="1164708861">
      <w:bodyDiv w:val="1"/>
      <w:marLeft w:val="0"/>
      <w:marRight w:val="0"/>
      <w:marTop w:val="0"/>
      <w:marBottom w:val="0"/>
      <w:divBdr>
        <w:top w:val="none" w:sz="0" w:space="0" w:color="auto"/>
        <w:left w:val="none" w:sz="0" w:space="0" w:color="auto"/>
        <w:bottom w:val="none" w:sz="0" w:space="0" w:color="auto"/>
        <w:right w:val="none" w:sz="0" w:space="0" w:color="auto"/>
      </w:divBdr>
    </w:div>
    <w:div w:id="1214198976">
      <w:bodyDiv w:val="1"/>
      <w:marLeft w:val="0"/>
      <w:marRight w:val="0"/>
      <w:marTop w:val="0"/>
      <w:marBottom w:val="0"/>
      <w:divBdr>
        <w:top w:val="none" w:sz="0" w:space="0" w:color="auto"/>
        <w:left w:val="none" w:sz="0" w:space="0" w:color="auto"/>
        <w:bottom w:val="none" w:sz="0" w:space="0" w:color="auto"/>
        <w:right w:val="none" w:sz="0" w:space="0" w:color="auto"/>
      </w:divBdr>
    </w:div>
    <w:div w:id="1585718811">
      <w:bodyDiv w:val="1"/>
      <w:marLeft w:val="0"/>
      <w:marRight w:val="0"/>
      <w:marTop w:val="0"/>
      <w:marBottom w:val="0"/>
      <w:divBdr>
        <w:top w:val="none" w:sz="0" w:space="0" w:color="auto"/>
        <w:left w:val="none" w:sz="0" w:space="0" w:color="auto"/>
        <w:bottom w:val="none" w:sz="0" w:space="0" w:color="auto"/>
        <w:right w:val="none" w:sz="0" w:space="0" w:color="auto"/>
      </w:divBdr>
      <w:divsChild>
        <w:div w:id="312560792">
          <w:marLeft w:val="0"/>
          <w:marRight w:val="0"/>
          <w:marTop w:val="0"/>
          <w:marBottom w:val="0"/>
          <w:divBdr>
            <w:top w:val="none" w:sz="0" w:space="0" w:color="auto"/>
            <w:left w:val="none" w:sz="0" w:space="0" w:color="auto"/>
            <w:bottom w:val="none" w:sz="0" w:space="0" w:color="auto"/>
            <w:right w:val="none" w:sz="0" w:space="0" w:color="auto"/>
          </w:divBdr>
        </w:div>
      </w:divsChild>
    </w:div>
    <w:div w:id="2054108657">
      <w:bodyDiv w:val="1"/>
      <w:marLeft w:val="0"/>
      <w:marRight w:val="0"/>
      <w:marTop w:val="0"/>
      <w:marBottom w:val="0"/>
      <w:divBdr>
        <w:top w:val="none" w:sz="0" w:space="0" w:color="auto"/>
        <w:left w:val="none" w:sz="0" w:space="0" w:color="auto"/>
        <w:bottom w:val="none" w:sz="0" w:space="0" w:color="auto"/>
        <w:right w:val="none" w:sz="0" w:space="0" w:color="auto"/>
      </w:divBdr>
      <w:divsChild>
        <w:div w:id="482938867">
          <w:marLeft w:val="0"/>
          <w:marRight w:val="0"/>
          <w:marTop w:val="0"/>
          <w:marBottom w:val="0"/>
          <w:divBdr>
            <w:top w:val="none" w:sz="0" w:space="0" w:color="auto"/>
            <w:left w:val="none" w:sz="0" w:space="0" w:color="auto"/>
            <w:bottom w:val="none" w:sz="0" w:space="0" w:color="auto"/>
            <w:right w:val="none" w:sz="0" w:space="0" w:color="auto"/>
          </w:divBdr>
        </w:div>
      </w:divsChild>
    </w:div>
    <w:div w:id="20593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4637-3633-433A-87D4-29ADA2C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7038</Words>
  <Characters>42228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Pietrzak Ewa</dc:creator>
  <cp:lastModifiedBy>Magdalena Szeląg</cp:lastModifiedBy>
  <cp:revision>3</cp:revision>
  <dcterms:created xsi:type="dcterms:W3CDTF">2025-09-03T18:49:00Z</dcterms:created>
  <dcterms:modified xsi:type="dcterms:W3CDTF">2025-09-11T11:42:00Z</dcterms:modified>
</cp:coreProperties>
</file>